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rPr>
      </w:pPr>
      <w:r>
        <w:rPr>
          <w:rFonts w:cs="Arial" w:ascii="Verdana" w:hAnsi="Verdana"/>
          <w:b/>
          <w:bCs/>
          <w:smallCaps/>
          <w:color w:val="000000"/>
          <w:sz w:val="20"/>
          <w:szCs w:val="20"/>
        </w:rPr>
        <w:t xml:space="preserve">EDITAL </w:t>
      </w:r>
    </w:p>
    <w:p>
      <w:pPr>
        <w:pStyle w:val="Normal"/>
        <w:spacing w:lineRule="auto" w:line="240"/>
        <w:jc w:val="center"/>
        <w:rPr>
          <w:rFonts w:ascii="Verdana" w:hAnsi="Verdana"/>
        </w:rPr>
      </w:pPr>
      <w:r>
        <w:rPr>
          <w:rFonts w:cs="Arial" w:ascii="Verdana" w:hAnsi="Verdana"/>
          <w:b/>
          <w:bCs/>
          <w:smallCaps/>
          <w:color w:val="000000"/>
          <w:sz w:val="20"/>
          <w:szCs w:val="20"/>
        </w:rPr>
        <w:t>PREGÃO ELETRÔNICO Nº 011/2026</w:t>
      </w:r>
    </w:p>
    <w:p>
      <w:pPr>
        <w:pStyle w:val="Normal"/>
        <w:spacing w:lineRule="auto" w:line="240"/>
        <w:jc w:val="center"/>
        <w:rPr>
          <w:rFonts w:ascii="Verdana" w:hAnsi="Verdana"/>
        </w:rPr>
      </w:pPr>
      <w:r>
        <w:rPr>
          <w:rFonts w:cs="Arial" w:ascii="Verdana" w:hAnsi="Verdana"/>
          <w:b/>
          <w:smallCaps/>
          <w:color w:val="000000"/>
          <w:sz w:val="20"/>
          <w:szCs w:val="20"/>
        </w:rPr>
        <w:t>(Processo Administrativo n° 8512/2025 de 27/11/2025)</w:t>
      </w:r>
    </w:p>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rFonts w:ascii="Verdana" w:hAnsi="Verdana"/>
          <w:sz w:val="20"/>
          <w:szCs w:val="20"/>
        </w:rPr>
      </w:pPr>
      <w:r>
        <w:rPr>
          <w:rFonts w:ascii="Verdana" w:hAnsi="Verdana"/>
          <w:sz w:val="20"/>
          <w:szCs w:val="20"/>
        </w:rPr>
      </w:r>
    </w:p>
    <w:p>
      <w:pPr>
        <w:pStyle w:val="BodyText"/>
        <w:spacing w:lineRule="auto" w:line="240" w:before="57" w:after="57"/>
        <w:jc w:val="both"/>
        <w:rPr>
          <w:rFonts w:ascii="Verdana" w:hAnsi="Verdana"/>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57" w:after="57"/>
        <w:jc w:val="both"/>
        <w:rPr>
          <w:rFonts w:ascii="Verdana" w:hAnsi="Verdana"/>
        </w:rPr>
      </w:pPr>
      <w:r>
        <w:rPr>
          <w:rFonts w:cs="Arial" w:ascii="Verdana" w:hAnsi="Verdana"/>
          <w:b/>
          <w:bCs/>
          <w:color w:val="000000"/>
          <w:sz w:val="20"/>
          <w:szCs w:val="20"/>
        </w:rPr>
        <w:t xml:space="preserve">Data da sessão: </w:t>
      </w:r>
      <w:r>
        <w:rPr>
          <w:rFonts w:cs="Arial" w:ascii="Verdana" w:hAnsi="Verdana"/>
          <w:b/>
          <w:bCs/>
          <w:color w:val="000000"/>
          <w:sz w:val="20"/>
          <w:szCs w:val="20"/>
        </w:rPr>
        <w:t>02/06</w:t>
      </w:r>
      <w:r>
        <w:rPr>
          <w:rFonts w:cs="Arial" w:ascii="Verdana" w:hAnsi="Verdana"/>
          <w:b/>
          <w:bCs/>
          <w:color w:val="000000"/>
          <w:sz w:val="20"/>
          <w:szCs w:val="20"/>
        </w:rPr>
        <w:t>/2026.</w:t>
      </w:r>
    </w:p>
    <w:p>
      <w:pPr>
        <w:pStyle w:val="Normal"/>
        <w:spacing w:lineRule="auto" w:line="240" w:before="57" w:after="57"/>
        <w:rPr>
          <w:rFonts w:ascii="Verdana" w:hAnsi="Verdana"/>
        </w:rPr>
      </w:pPr>
      <w:r>
        <w:rPr>
          <w:rFonts w:cs="Arial" w:ascii="Verdana" w:hAnsi="Verdana"/>
          <w:b/>
          <w:bCs/>
          <w:color w:val="000000"/>
          <w:sz w:val="20"/>
          <w:szCs w:val="20"/>
        </w:rPr>
        <w:t>Horário: 13h00min.</w:t>
      </w:r>
    </w:p>
    <w:p>
      <w:pPr>
        <w:pStyle w:val="Default"/>
        <w:spacing w:lineRule="auto" w:line="240" w:before="57" w:after="57"/>
        <w:rPr>
          <w:rFonts w:ascii="Verdana" w:hAnsi="Verdana"/>
        </w:rPr>
      </w:pPr>
      <w:r>
        <w:rPr>
          <w:rFonts w:ascii="Verdana" w:hAnsi="Verdana"/>
          <w:b/>
          <w:sz w:val="20"/>
          <w:szCs w:val="20"/>
        </w:rPr>
        <w:t xml:space="preserve">Local: Portal de Compras Públicas – </w:t>
      </w:r>
      <w:r>
        <w:rPr>
          <w:rFonts w:ascii="Verdana" w:hAnsi="Verdana"/>
          <w:b/>
          <w:color w:val="0462C1"/>
          <w:sz w:val="20"/>
          <w:szCs w:val="20"/>
        </w:rPr>
        <w:t xml:space="preserve">www.portaldecompraspublicas.com.br </w:t>
      </w:r>
    </w:p>
    <w:p>
      <w:pPr>
        <w:pStyle w:val="Normal"/>
        <w:spacing w:lineRule="auto" w:line="240" w:before="57" w:after="57"/>
        <w:rPr/>
      </w:pPr>
      <w:r>
        <w:rPr>
          <w:rStyle w:val="InternetLink"/>
          <w:rFonts w:cs="Arial" w:ascii="Verdana" w:hAnsi="Verdana"/>
          <w:b/>
          <w:bCs/>
          <w:color w:val="000000"/>
          <w:sz w:val="20"/>
          <w:szCs w:val="20"/>
          <w:u w:val="none"/>
        </w:rPr>
        <w:t>UASG: 985693</w:t>
      </w:r>
    </w:p>
    <w:p>
      <w:pPr>
        <w:pStyle w:val="Normal"/>
        <w:spacing w:lineRule="auto" w:line="240"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rPr>
        <w:t>DO OBJETO</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rPr>
        <w:t xml:space="preserve">1.1 O objeto da presente licitação é a </w:t>
      </w:r>
      <w:r>
        <w:rPr>
          <w:rFonts w:eastAsia="Times New Roman" w:cs="Arial" w:ascii="Verdana" w:hAnsi="Verdana"/>
          <w:b w:val="false"/>
          <w:bCs w:val="false"/>
          <w:color w:val="auto"/>
          <w:kern w:val="0"/>
          <w:sz w:val="20"/>
          <w:szCs w:val="20"/>
          <w:lang w:val="pt-BR" w:eastAsia="pt-BR" w:bidi="ar-SA"/>
        </w:rPr>
        <w:t>Aquisição de materiais de EPIs</w:t>
      </w:r>
      <w:r>
        <w:rPr>
          <w:rFonts w:eastAsia="Times New Roman" w:cs="Arial" w:ascii="Verdana" w:hAnsi="Verdana"/>
          <w:bCs/>
          <w:sz w:val="20"/>
          <w:szCs w:val="20"/>
        </w:rPr>
        <w:t xml:space="preserve"> para atender as necessidades da secretaria Municipal de Saúde</w:t>
      </w:r>
      <w:bookmarkStart w:id="0" w:name="_Hlk177455480"/>
      <w:r>
        <w:rPr>
          <w:rFonts w:eastAsia="Times New Roman" w:cs="Times New Roman" w:ascii="Verdana" w:hAnsi="Verdana"/>
          <w:iCs/>
          <w:sz w:val="20"/>
          <w:szCs w:val="20"/>
        </w:rPr>
        <w:t xml:space="preserve">, </w:t>
      </w:r>
      <w:bookmarkEnd w:id="0"/>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40"/>
        <w:jc w:val="both"/>
        <w:rPr>
          <w:rFonts w:ascii="Verdana" w:hAnsi="Verdana"/>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lineRule="auto" w:line="240"/>
        <w:jc w:val="both"/>
        <w:rPr>
          <w:rFonts w:ascii="Verdana" w:hAnsi="Verdana"/>
        </w:rPr>
      </w:pPr>
      <w:r>
        <w:rPr>
          <w:rFonts w:cs="Arial" w:ascii="Verdana" w:hAnsi="Verdana"/>
          <w:b/>
          <w:bCs/>
          <w:iCs/>
          <w:color w:val="000000"/>
          <w:sz w:val="20"/>
          <w:szCs w:val="20"/>
          <w:highlight w:val="yellow"/>
        </w:rPr>
        <w:t xml:space="preserve">1.3 </w:t>
      </w:r>
      <w:r>
        <w:rPr>
          <w:rFonts w:eastAsia="Batang;바탕" w:cs="Arial" w:ascii="Verdana" w:hAnsi="Verdana"/>
          <w:b/>
          <w:bCs/>
          <w:color w:val="000000"/>
          <w:sz w:val="20"/>
          <w:szCs w:val="20"/>
          <w:highlight w:val="yellow"/>
        </w:rPr>
        <w:t>A licitação correspondente ocorrerá com exclusividade para microempresas ou empresas de pequeno porte.</w:t>
      </w:r>
    </w:p>
    <w:p>
      <w:pPr>
        <w:pStyle w:val="Normal"/>
        <w:spacing w:lineRule="auto" w:line="240"/>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rPr>
        <w:t>DOS RECURSOS ORÇAMENTÁRIOS</w:t>
      </w:r>
    </w:p>
    <w:p>
      <w:pPr>
        <w:pStyle w:val="Normal"/>
        <w:spacing w:lineRule="auto" w:line="240" w:before="57" w:after="57"/>
        <w:jc w:val="both"/>
        <w:rPr>
          <w:rFonts w:ascii="Verdana" w:hAnsi="Verdana"/>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spacing w:lineRule="auto" w:line="240" w:before="57" w:after="57"/>
        <w:jc w:val="both"/>
        <w:rPr>
          <w:rFonts w:ascii="Verdana" w:hAnsi="Verdana"/>
        </w:rPr>
      </w:pPr>
      <w:r>
        <w:rPr>
          <w:rFonts w:cs="Times New Roman" w:ascii="Verdana" w:hAnsi="Verdana"/>
          <w:b/>
          <w:bCs/>
          <w:sz w:val="20"/>
          <w:szCs w:val="20"/>
          <w:lang w:eastAsia="ar-SA"/>
        </w:rPr>
        <w:t xml:space="preserve">– </w:t>
      </w:r>
      <w:r>
        <w:rPr>
          <w:rFonts w:cs="Times New Roman" w:ascii="Verdana" w:hAnsi="Verdana"/>
          <w:b/>
          <w:bCs/>
          <w:sz w:val="20"/>
          <w:szCs w:val="20"/>
          <w:lang w:eastAsia="ar-SA"/>
        </w:rPr>
        <w:t>Secretaria Municipal de Saúde</w:t>
      </w:r>
    </w:p>
    <w:p>
      <w:pPr>
        <w:pStyle w:val="Normal"/>
        <w:spacing w:lineRule="auto" w:line="240"/>
        <w:jc w:val="both"/>
        <w:rPr>
          <w:rFonts w:ascii="Verdana" w:hAnsi="Verdana"/>
          <w:sz w:val="20"/>
          <w:szCs w:val="20"/>
        </w:rPr>
      </w:pPr>
      <w:r>
        <w:rPr>
          <w:rFonts w:cs="Arial" w:ascii="Verdana" w:hAnsi="Verdana"/>
          <w:b w:val="false"/>
          <w:bCs w:val="false"/>
          <w:sz w:val="20"/>
          <w:szCs w:val="20"/>
          <w:shd w:fill="FFFFFF" w:val="clear"/>
        </w:rPr>
        <w:t>- Projeto/Atividade – 000004000002.1030142032.406 – Manutenção do Programa de Agentes Comunitários de Saúde – Ficha 527 (MATERIAL DE CONSUMO) – Fonte de Recurso 16040000000000</w:t>
      </w:r>
      <w:r>
        <w:rPr>
          <w:rFonts w:eastAsia="Times New Roman" w:cs="Arial" w:ascii="Verdana" w:hAnsi="Verdana"/>
          <w:b w:val="false"/>
          <w:bCs w:val="false"/>
          <w:color w:val="000000"/>
          <w:kern w:val="0"/>
          <w:sz w:val="20"/>
          <w:szCs w:val="20"/>
          <w:shd w:fill="FFFFFF" w:val="clear"/>
          <w:lang w:val="pt-BR" w:eastAsia="pt-BR" w:bidi="ar-SA"/>
        </w:rPr>
        <w:t>. RECURSO: Agentes Comunitários de saúde.</w:t>
      </w:r>
    </w:p>
    <w:p>
      <w:pPr>
        <w:pStyle w:val="Normal"/>
        <w:spacing w:lineRule="auto" w:line="240"/>
        <w:jc w:val="both"/>
        <w:rPr>
          <w:rFonts w:ascii="Verdana" w:hAnsi="Verdana"/>
          <w:sz w:val="20"/>
          <w:szCs w:val="20"/>
        </w:rPr>
      </w:pPr>
      <w:r>
        <w:rPr>
          <w:rFonts w:eastAsia="Times New Roman" w:cs="Arial" w:ascii="Verdana" w:hAnsi="Verdana"/>
          <w:b w:val="false"/>
          <w:bCs w:val="false"/>
          <w:color w:val="000000"/>
          <w:sz w:val="20"/>
          <w:szCs w:val="20"/>
          <w:shd w:fill="FFFFFF" w:val="clear"/>
        </w:rPr>
        <w:t>- Projeto/Atividade – 000004000002.1030542102.415 – Manutenção dos Serviços de Vigilância em Saúde – Ficha 569 (MATERIAL DE CONSUMO) – Fonte de Recurso 16040000000000</w:t>
      </w:r>
      <w:r>
        <w:rPr>
          <w:rFonts w:eastAsia="Times New Roman" w:cs="Arial" w:ascii="Verdana" w:hAnsi="Verdana"/>
          <w:b w:val="false"/>
          <w:bCs w:val="false"/>
          <w:color w:val="000000"/>
          <w:kern w:val="0"/>
          <w:sz w:val="20"/>
          <w:szCs w:val="20"/>
          <w:shd w:fill="FFFFFF" w:val="clear"/>
          <w:lang w:val="pt-BR" w:eastAsia="pt-BR" w:bidi="ar-SA"/>
        </w:rPr>
        <w:t>. RECURSO: Agentes Comunitários de endemias</w:t>
      </w:r>
    </w:p>
    <w:p>
      <w:pPr>
        <w:pStyle w:val="Normal"/>
        <w:spacing w:lineRule="auto" w:line="240"/>
        <w:jc w:val="both"/>
        <w:rPr>
          <w:rFonts w:eastAsia="Times New Roman" w:cs="Arial"/>
          <w:b w:val="false"/>
          <w:bCs w:val="false"/>
          <w:color w:val="000000"/>
          <w:kern w:val="0"/>
          <w:shd w:fill="FFFFFF" w:val="clear"/>
          <w:lang w:val="pt-BR" w:eastAsia="pt-BR" w:bidi="ar-SA"/>
        </w:rPr>
      </w:pPr>
      <w:r>
        <w:rPr>
          <w:rFonts w:eastAsia="Times New Roman" w:cs="Arial"/>
          <w:b w:val="false"/>
          <w:bCs w:val="false"/>
          <w:color w:val="000000"/>
          <w:kern w:val="0"/>
          <w:shd w:fill="FFFFFF" w:val="clear"/>
          <w:lang w:val="pt-BR" w:eastAsia="pt-BR" w:bidi="ar-SA"/>
        </w:rPr>
      </w:r>
    </w:p>
    <w:p>
      <w:pPr>
        <w:pStyle w:val="Nivel01"/>
        <w:numPr>
          <w:ilvl w:val="0"/>
          <w:numId w:val="2"/>
        </w:numPr>
        <w:spacing w:lineRule="auto" w:line="240" w:before="0" w:after="0"/>
        <w:ind w:hanging="0" w:left="0"/>
        <w:rPr>
          <w:rFonts w:ascii="Verdana" w:hAnsi="Verdana"/>
        </w:rPr>
      </w:pPr>
      <w:r>
        <w:rPr>
          <w:rFonts w:cs="Arial" w:ascii="Verdana" w:hAnsi="Verdana"/>
        </w:rPr>
        <w:t>DO CREDENCIAMENTO</w:t>
      </w:r>
    </w:p>
    <w:p>
      <w:pPr>
        <w:pStyle w:val="Default"/>
        <w:spacing w:lineRule="auto" w:line="240"/>
        <w:ind w:right="113"/>
        <w:jc w:val="both"/>
        <w:rPr>
          <w:rFonts w:ascii="Verdana" w:hAnsi="Verdana"/>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ind w:right="113"/>
        <w:jc w:val="both"/>
        <w:rPr>
          <w:rFonts w:ascii="Verdana" w:hAnsi="Verdana"/>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ind w:right="113"/>
        <w:jc w:val="both"/>
        <w:rPr>
          <w:rFonts w:ascii="Verdana" w:hAnsi="Verdana"/>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ind w:right="113"/>
        <w:jc w:val="both"/>
        <w:rPr>
          <w:rFonts w:ascii="Verdana" w:hAnsi="Verdana"/>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40"/>
        <w:ind w:right="113"/>
        <w:jc w:val="both"/>
        <w:rPr>
          <w:rFonts w:ascii="Verdana" w:hAnsi="Verdana"/>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ind w:right="113"/>
        <w:jc w:val="both"/>
        <w:rPr>
          <w:rFonts w:ascii="Verdana" w:hAnsi="Verdana"/>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rPr>
        <w:t>DA PARTICIPAÇÃO NO PREGÃO.</w:t>
      </w:r>
    </w:p>
    <w:p>
      <w:pPr>
        <w:pStyle w:val="Nivel2"/>
        <w:numPr>
          <w:ilvl w:val="0"/>
          <w:numId w:val="0"/>
        </w:numPr>
        <w:suppressAutoHyphens w:val="false"/>
        <w:spacing w:lineRule="auto" w:line="240" w:before="0" w:after="0"/>
        <w:ind w:hanging="0" w:left="0"/>
        <w:rPr>
          <w:rFonts w:ascii="Verdana" w:hAnsi="Verdana"/>
        </w:rPr>
      </w:pPr>
      <w:r>
        <w:rPr>
          <w:rFonts w:cs="Arial" w:ascii="Verdana" w:hAnsi="Verdana"/>
          <w:bCs/>
          <w:color w:val="000000"/>
        </w:rPr>
        <w:t xml:space="preserve">4.1 </w:t>
      </w:r>
      <w:bookmarkStart w:id="1" w:name="_Hlk135302270"/>
      <w:bookmarkEnd w:id="1"/>
      <w:r>
        <w:rPr>
          <w:rFonts w:cs="Arial" w:ascii="Verdana" w:hAnsi="Verdana"/>
          <w:bCs/>
          <w:color w:val="000000"/>
        </w:rPr>
        <w:t>Poder</w:t>
      </w:r>
      <w:r>
        <w:rPr>
          <w:rFonts w:ascii="Verdana" w:hAnsi="Verdana"/>
        </w:rPr>
        <w:t xml:space="preserve">ão participar deste certame os interessados que atenderem as exigências contidas neste Edital e seus anexos, e que sejam possuidores de chaves de identificação e senha fornecidas para acesso ao sistema provedor. </w:t>
      </w:r>
    </w:p>
    <w:p>
      <w:pPr>
        <w:pStyle w:val="Nivel2"/>
        <w:numPr>
          <w:ilvl w:val="0"/>
          <w:numId w:val="0"/>
        </w:numPr>
        <w:suppressAutoHyphens w:val="false"/>
        <w:spacing w:lineRule="auto" w:line="240" w:before="0" w:after="0"/>
        <w:ind w:hanging="0" w:left="0"/>
        <w:rPr>
          <w:rFonts w:ascii="Verdana" w:hAnsi="Verdana"/>
        </w:rPr>
      </w:pPr>
      <w:r>
        <w:rPr>
          <w:rFonts w:ascii="Verdana" w:hAnsi="Verdana"/>
          <w:b/>
          <w:bCs/>
        </w:rPr>
        <w:t>4.2</w:t>
      </w:r>
      <w:r>
        <w:rPr>
          <w:rFonts w:ascii="Verdana" w:hAnsi="Verdana"/>
        </w:rPr>
        <w:t xml:space="preserve"> </w:t>
      </w:r>
      <w:r>
        <w:rPr>
          <w:rFonts w:cs="Arial" w:ascii="Verdana" w:hAnsi="Verdana"/>
          <w:b/>
          <w:bCs/>
          <w:iCs/>
          <w:color w:val="000000"/>
          <w:shd w:fill="FFFF00" w:val="clear"/>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57" w:after="57"/>
        <w:jc w:val="both"/>
        <w:rPr/>
      </w:pPr>
      <w:r>
        <w:rPr>
          <w:rFonts w:cs="Arial" w:ascii="Verdana" w:hAnsi="Verdana"/>
          <w:iCs/>
          <w:color w:val="000000"/>
          <w:sz w:val="20"/>
          <w:szCs w:val="20"/>
        </w:rPr>
        <w:t xml:space="preserve">4.2.1 </w:t>
      </w:r>
      <w:r>
        <w:rPr>
          <w:rStyle w:val="InternetLink"/>
          <w:rFonts w:cs="Arial" w:ascii="Verdana" w:hAnsi="Verdana"/>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napToGrid w:val="false"/>
        <w:spacing w:lineRule="auto" w:line="240" w:before="57" w:after="57"/>
        <w:jc w:val="both"/>
        <w:rPr/>
      </w:pPr>
      <w:r>
        <w:rPr>
          <w:rStyle w:val="InternetLink"/>
          <w:rFonts w:cs="Arial" w:ascii="Verdana" w:hAnsi="Verdana"/>
          <w:b/>
          <w:bCs/>
          <w:iCs/>
          <w:color w:val="000000"/>
          <w:sz w:val="20"/>
          <w:szCs w:val="20"/>
          <w:u w:val="none"/>
          <w:shd w:fill="FFFF00" w:val="clear"/>
        </w:rPr>
        <w:t>4.2.</w:t>
      </w:r>
      <w:r>
        <w:rPr>
          <w:rStyle w:val="InternetLink"/>
          <w:rFonts w:cs="Arial" w:ascii="Verdana" w:hAnsi="Verdana"/>
          <w:b/>
          <w:bCs/>
          <w:iCs/>
          <w:color w:val="000000"/>
          <w:sz w:val="20"/>
          <w:szCs w:val="20"/>
          <w:highlight w:val="yellow"/>
          <w:u w:val="none"/>
          <w:shd w:fill="FFFF00" w:val="clear"/>
        </w:rPr>
        <w:t xml:space="preserve">2 </w:t>
      </w:r>
      <w:bookmarkStart w:id="2" w:name="_Hlk214282951"/>
      <w:r>
        <w:rPr>
          <w:rStyle w:val="InternetLink1"/>
          <w:rFonts w:cs="Arial" w:ascii="Verdana" w:hAnsi="Verdana"/>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cs="Arial" w:ascii="Verdana" w:hAnsi="Verdana"/>
          <w:iCs/>
          <w:color w:val="auto"/>
          <w:sz w:val="20"/>
          <w:szCs w:val="20"/>
          <w:highlight w:val="yellow"/>
        </w:rPr>
        <w:t xml:space="preserve"> demonstrando a situação de enquadramento, </w:t>
      </w:r>
      <w:r>
        <w:rPr>
          <w:rStyle w:val="InternetLink1"/>
          <w:rFonts w:cs="Arial" w:ascii="Verdana" w:hAnsi="Verdana"/>
          <w:b/>
          <w:bCs/>
          <w:iCs/>
          <w:color w:val="auto"/>
          <w:sz w:val="20"/>
          <w:szCs w:val="20"/>
          <w:highlight w:val="yellow"/>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InternetLink1"/>
          <w:rFonts w:cs="Arial" w:ascii="Verdana" w:hAnsi="Verdana"/>
          <w:iCs/>
          <w:color w:val="auto"/>
          <w:sz w:val="20"/>
          <w:szCs w:val="20"/>
          <w:highlight w:val="yellow"/>
        </w:rPr>
        <w:t>, sob pena de perda do direito de gozo dos referidos benefícios</w:t>
      </w:r>
      <w:r>
        <w:rPr>
          <w:rFonts w:cs="Arial" w:ascii="Verdana" w:hAnsi="Verdana"/>
          <w:bCs/>
          <w:sz w:val="20"/>
          <w:szCs w:val="20"/>
          <w:highlight w:val="yellow"/>
        </w:rPr>
        <w:t>.</w:t>
      </w:r>
      <w:bookmarkEnd w:id="2"/>
    </w:p>
    <w:p>
      <w:pPr>
        <w:pStyle w:val="Normal"/>
        <w:snapToGrid w:val="false"/>
        <w:spacing w:lineRule="auto" w:line="240" w:before="57" w:after="57"/>
        <w:jc w:val="both"/>
        <w:rPr>
          <w:rFonts w:ascii="Verdana" w:hAnsi="Verdana"/>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20"/>
          <w:tab w:val="left" w:pos="1440" w:leader="none"/>
        </w:tabs>
        <w:snapToGrid w:val="false"/>
        <w:spacing w:lineRule="auto" w:line="240" w:before="57" w:after="57"/>
        <w:jc w:val="both"/>
        <w:rPr>
          <w:rFonts w:ascii="Verdana" w:hAnsi="Verdana"/>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57" w:after="57"/>
        <w:jc w:val="both"/>
        <w:rPr>
          <w:rFonts w:ascii="Verdana" w:hAnsi="Verdana"/>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lineRule="auto" w:line="240" w:before="57" w:after="57"/>
        <w:jc w:val="both"/>
        <w:rPr>
          <w:rFonts w:ascii="Verdana" w:hAnsi="Verdana"/>
        </w:rPr>
      </w:pPr>
      <w:r>
        <w:rPr>
          <w:rFonts w:cs="Arial" w:ascii="Verdana" w:hAnsi="Verdana"/>
          <w:bCs/>
          <w:color w:val="000000"/>
          <w:sz w:val="20"/>
          <w:szCs w:val="20"/>
        </w:rPr>
        <w:t>4.3.10 Pessoas jurídicas reunidas em consórcio;</w:t>
      </w:r>
    </w:p>
    <w:p>
      <w:pPr>
        <w:pStyle w:val="Normal"/>
        <w:snapToGrid w:val="false"/>
        <w:spacing w:lineRule="auto" w:line="240" w:before="57" w:after="57"/>
        <w:jc w:val="both"/>
        <w:rPr>
          <w:rFonts w:ascii="Verdana" w:hAnsi="Verdana"/>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40" w:before="57" w:after="57"/>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0" w:after="0"/>
        <w:ind w:hanging="0" w:left="0"/>
        <w:rPr>
          <w:rFonts w:ascii="Verdana" w:hAnsi="Verdana"/>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0" w:after="0"/>
        <w:ind w:hanging="0" w:left="0"/>
        <w:rPr>
          <w:rFonts w:ascii="Verdana" w:hAnsi="Verdana"/>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before="0" w:after="0"/>
        <w:ind w:hanging="0" w:left="0"/>
        <w:rPr>
          <w:rFonts w:ascii="Verdana" w:hAnsi="Verdana"/>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0" w:after="0"/>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rPr>
        <w:t>DA APRESENTAÇÃO DA PROPOSTA E DOS DOCUMENTOS DE HABILITAÇÃO</w:t>
      </w:r>
    </w:p>
    <w:p>
      <w:pPr>
        <w:pStyle w:val="Normal"/>
        <w:numPr>
          <w:ilvl w:val="1"/>
          <w:numId w:val="14"/>
        </w:numPr>
        <w:tabs>
          <w:tab w:val="clear" w:pos="720"/>
          <w:tab w:val="left" w:pos="450" w:leader="none"/>
          <w:tab w:val="left" w:pos="1450" w:leader="none"/>
        </w:tabs>
        <w:spacing w:lineRule="auto" w:line="240" w:before="57" w:after="57"/>
        <w:ind w:hanging="0" w:left="0"/>
        <w:jc w:val="both"/>
        <w:rPr>
          <w:rFonts w:ascii="Verdana" w:hAnsi="Verdana"/>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5"/>
        </w:numPr>
        <w:tabs>
          <w:tab w:val="clear" w:pos="720"/>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6"/>
        </w:numPr>
        <w:tabs>
          <w:tab w:val="clear" w:pos="720"/>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7"/>
        </w:numPr>
        <w:tabs>
          <w:tab w:val="clear" w:pos="720"/>
          <w:tab w:val="left" w:pos="450" w:leader="none"/>
        </w:tabs>
        <w:spacing w:lineRule="auto" w:line="240" w:before="57" w:after="57"/>
        <w:ind w:hanging="0" w:left="0"/>
        <w:jc w:val="both"/>
        <w:rPr>
          <w:rFonts w:ascii="Verdana" w:hAnsi="Verdana"/>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8"/>
        </w:numPr>
        <w:tabs>
          <w:tab w:val="clear" w:pos="720"/>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9"/>
        </w:numPr>
        <w:tabs>
          <w:tab w:val="clear" w:pos="720"/>
          <w:tab w:val="left" w:pos="450" w:leader="none"/>
        </w:tabs>
        <w:spacing w:lineRule="auto" w:line="240" w:before="57" w:after="57"/>
        <w:ind w:hanging="0" w:left="0"/>
        <w:jc w:val="both"/>
        <w:rPr>
          <w:rFonts w:ascii="Verdana" w:hAnsi="Verdana"/>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0"/>
        </w:numPr>
        <w:tabs>
          <w:tab w:val="clear" w:pos="720"/>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1"/>
        </w:numPr>
        <w:tabs>
          <w:tab w:val="clear" w:pos="720"/>
          <w:tab w:val="left" w:pos="450" w:leader="none"/>
        </w:tabs>
        <w:spacing w:lineRule="auto" w:line="240" w:before="0" w:after="0"/>
        <w:ind w:hanging="0" w:left="0"/>
        <w:jc w:val="both"/>
        <w:rPr>
          <w:rFonts w:ascii="Verdana" w:hAnsi="Verdana"/>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240" w:before="0" w:after="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rPr>
      </w:pPr>
      <w:r>
        <w:rPr>
          <w:rFonts w:cs="Arial" w:ascii="Verdana" w:hAnsi="Verdana"/>
        </w:rPr>
        <w:t>DO PREENCHIMENTO DA PROPOSTA</w:t>
      </w:r>
    </w:p>
    <w:p>
      <w:pPr>
        <w:pStyle w:val="Normal"/>
        <w:numPr>
          <w:ilvl w:val="1"/>
          <w:numId w:val="2"/>
        </w:numPr>
        <w:tabs>
          <w:tab w:val="clear" w:pos="720"/>
          <w:tab w:val="left" w:pos="450" w:leader="none"/>
        </w:tabs>
        <w:spacing w:lineRule="auto" w:line="240" w:before="0" w:after="0"/>
        <w:ind w:hanging="0" w:left="0"/>
        <w:jc w:val="both"/>
        <w:rPr>
          <w:rFonts w:ascii="Verdana" w:hAnsi="Verdana"/>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lineRule="auto" w:line="240" w:before="57" w:after="57"/>
        <w:ind w:hanging="0" w:left="0"/>
        <w:jc w:val="both"/>
        <w:rPr>
          <w:rFonts w:ascii="Verdana" w:hAnsi="Verdana"/>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lineRule="auto" w:line="240" w:before="57" w:after="57"/>
        <w:jc w:val="both"/>
        <w:rPr>
          <w:rFonts w:ascii="Verdana" w:hAnsi="Verdana"/>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lineRule="auto" w:line="240" w:before="57" w:after="57"/>
        <w:jc w:val="both"/>
        <w:rPr>
          <w:rFonts w:ascii="Verdana" w:hAnsi="Verdana"/>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lineRule="auto" w:line="240" w:before="57" w:after="57"/>
        <w:jc w:val="both"/>
        <w:rPr>
          <w:rFonts w:ascii="Verdana" w:hAnsi="Verdana"/>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lineRule="auto" w:line="240" w:before="57" w:after="57"/>
        <w:jc w:val="both"/>
        <w:rPr>
          <w:rFonts w:ascii="Verdana" w:hAnsi="Verdana"/>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lineRule="auto" w:line="240" w:before="57" w:after="57"/>
        <w:jc w:val="both"/>
        <w:rPr>
          <w:rFonts w:ascii="Verdana" w:hAnsi="Verdana"/>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lineRule="auto" w:line="240" w:before="57" w:after="57"/>
        <w:jc w:val="both"/>
        <w:rPr>
          <w:rFonts w:ascii="Verdana" w:hAnsi="Verdana"/>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lineRule="auto" w:line="240" w:before="57" w:after="57"/>
        <w:jc w:val="both"/>
        <w:rPr>
          <w:rFonts w:ascii="Verdana" w:hAnsi="Verdana"/>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lineRule="auto" w:line="240" w:before="57" w:after="57"/>
        <w:jc w:val="both"/>
        <w:rPr>
          <w:rFonts w:ascii="Verdana" w:hAnsi="Verdana"/>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lineRule="auto" w:line="240" w:before="0" w:after="0"/>
        <w:jc w:val="both"/>
        <w:rPr>
          <w:rFonts w:ascii="Verdana" w:hAnsi="Verdana"/>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spacing w:lineRule="auto" w:line="240" w:before="0" w:after="0"/>
        <w:ind w:hanging="0" w:left="0"/>
        <w:rPr>
          <w:rFonts w:ascii="Verdana" w:hAnsi="Verdana" w:eastAsia="Segoe UI" w:cs="Arial"/>
          <w:color w:val="000000"/>
        </w:rPr>
      </w:pPr>
      <w:r>
        <w:rPr>
          <w:rFonts w:eastAsia="Segoe UI" w:cs="Arial" w:ascii="Verdana" w:hAnsi="Verdana"/>
          <w:color w:val="000000"/>
        </w:rPr>
      </w:r>
    </w:p>
    <w:p>
      <w:pPr>
        <w:pStyle w:val="Nivel01"/>
        <w:numPr>
          <w:ilvl w:val="0"/>
          <w:numId w:val="2"/>
        </w:numPr>
        <w:spacing w:lineRule="auto" w:line="240" w:before="0" w:after="0"/>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40" w:before="0" w:after="0"/>
        <w:ind w:hanging="0" w:left="0"/>
        <w:contextualSpacing w:val="false"/>
        <w:jc w:val="both"/>
        <w:rPr>
          <w:rFonts w:ascii="Verdana" w:hAnsi="Verdana"/>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0" w:after="0"/>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40" w:before="0" w:after="0"/>
        <w:ind w:hanging="0" w:left="0"/>
        <w:contextualSpacing w:val="false"/>
        <w:jc w:val="both"/>
        <w:rPr>
          <w:rFonts w:ascii="Verdana" w:hAnsi="Verdana"/>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40" w:before="0" w:after="0"/>
        <w:ind w:hanging="0" w:left="0"/>
        <w:jc w:val="both"/>
        <w:rPr>
          <w:rFonts w:ascii="Verdana" w:hAnsi="Verdana"/>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40" w:before="57" w:after="57"/>
        <w:jc w:val="both"/>
        <w:rPr>
          <w:rFonts w:ascii="Verdana" w:hAnsi="Verdana"/>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40" w:before="57" w:after="57"/>
        <w:jc w:val="both"/>
        <w:rPr>
          <w:rFonts w:ascii="Verdana" w:hAnsi="Verdana"/>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lineRule="auto" w:line="240" w:before="57" w:after="57"/>
        <w:jc w:val="both"/>
        <w:rPr>
          <w:rFonts w:ascii="Verdana" w:hAnsi="Verdana"/>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left="0"/>
        <w:contextualSpacing w:val="false"/>
        <w:jc w:val="both"/>
        <w:rPr>
          <w:rFonts w:ascii="Verdana" w:hAnsi="Verdana"/>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left="0"/>
        <w:contextualSpacing w:val="false"/>
        <w:jc w:val="both"/>
        <w:rPr>
          <w:rFonts w:ascii="Verdana" w:hAnsi="Verdana"/>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 xml:space="preserve">7.10 </w:t>
      </w:r>
      <w:r>
        <w:rPr>
          <w:rFonts w:cs="Arial" w:ascii="Verdana" w:hAnsi="Verdana"/>
          <w:sz w:val="20"/>
          <w:szCs w:val="20"/>
        </w:rPr>
        <w:t>A etapa de lances na sessão pública durará 10 (dez) minutos, e após isso, será prorrogada automaticamente pelo sistema eletrônico quando houver lance ofertado nos últimos 2 (dois) minutos do período de duração da sessão pública.</w:t>
      </w:r>
    </w:p>
    <w:p>
      <w:pPr>
        <w:pStyle w:val="ListParagraph"/>
        <w:spacing w:lineRule="auto" w:line="240" w:before="57" w:after="57"/>
        <w:ind w:left="0"/>
        <w:contextualSpacing w:val="false"/>
        <w:jc w:val="both"/>
        <w:rPr>
          <w:rFonts w:ascii="Verdana" w:hAnsi="Verdana"/>
        </w:rPr>
      </w:pPr>
      <w:r>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ListParagraph"/>
        <w:tabs>
          <w:tab w:val="clear" w:pos="720"/>
          <w:tab w:val="left" w:pos="2850" w:leader="none"/>
        </w:tabs>
        <w:spacing w:lineRule="auto" w:line="240" w:before="57" w:after="57"/>
        <w:ind w:left="0"/>
        <w:contextualSpacing w:val="false"/>
        <w:jc w:val="both"/>
        <w:rPr>
          <w:rFonts w:ascii="Verdana" w:hAnsi="Verdana"/>
        </w:rPr>
      </w:pPr>
      <w:r>
        <w:rPr>
          <w:rFonts w:cs="Arial" w:ascii="Verdana" w:hAnsi="Verdana"/>
          <w:color w:val="000000"/>
          <w:sz w:val="20"/>
          <w:szCs w:val="20"/>
        </w:rPr>
        <w:t xml:space="preserve">7.12.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pPr>
        <w:pStyle w:val="Default"/>
        <w:spacing w:lineRule="auto" w:line="240"/>
        <w:jc w:val="both"/>
        <w:rPr>
          <w:rFonts w:ascii="Verdana" w:hAnsi="Verdana"/>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jc w:val="both"/>
        <w:rPr>
          <w:rFonts w:ascii="Verdana" w:hAnsi="Verdana"/>
        </w:rPr>
      </w:pPr>
      <w:r>
        <w:rPr>
          <w:rFonts w:ascii="Verdana" w:hAnsi="Verdana"/>
          <w:sz w:val="20"/>
          <w:szCs w:val="20"/>
        </w:rPr>
        <w:t>7.14 Após o reinício previsto no item supra, os licitantes serão convocados para apresentar lances intermediários.</w:t>
      </w:r>
    </w:p>
    <w:p>
      <w:pPr>
        <w:pStyle w:val="Normal"/>
        <w:spacing w:lineRule="auto" w:line="240" w:before="57" w:after="57"/>
        <w:jc w:val="both"/>
        <w:rPr>
          <w:rFonts w:ascii="Verdana" w:hAnsi="Verdana"/>
        </w:rPr>
      </w:pPr>
      <w:r>
        <w:rPr>
          <w:rFonts w:ascii="Verdana" w:hAnsi="Verdana"/>
          <w:sz w:val="20"/>
          <w:szCs w:val="20"/>
        </w:rPr>
        <w:t>7.15. Após o término dos prazos estabelecidos nos itens anteriores, o sistema ordenará os lances segundo a ordem crescente de valores.</w:t>
      </w:r>
    </w:p>
    <w:p>
      <w:pPr>
        <w:pStyle w:val="Normal"/>
        <w:spacing w:lineRule="auto" w:line="240" w:before="57" w:after="57"/>
        <w:jc w:val="both"/>
        <w:rPr>
          <w:rFonts w:ascii="Verdana" w:hAnsi="Verdana"/>
        </w:rPr>
      </w:pPr>
      <w:r>
        <w:rPr>
          <w:rFonts w:cs="Arial" w:ascii="Verdana" w:hAnsi="Verdana"/>
          <w:color w:val="000000"/>
          <w:sz w:val="20"/>
          <w:szCs w:val="20"/>
        </w:rPr>
        <w:t>7.16. Não serão aceitos dois ou mais lances de mesmo valor, prevalecendo aquele que for recebido e registrado em primeiro lugar.</w:t>
      </w:r>
    </w:p>
    <w:p>
      <w:pPr>
        <w:pStyle w:val="Normal"/>
        <w:spacing w:lineRule="auto" w:line="240" w:before="57" w:after="57"/>
        <w:jc w:val="both"/>
        <w:rPr>
          <w:rFonts w:ascii="Verdana" w:hAnsi="Verdana"/>
        </w:rPr>
      </w:pPr>
      <w:r>
        <w:rPr>
          <w:rFonts w:cs="Arial" w:ascii="Verdana" w:hAnsi="Verdana"/>
          <w:color w:val="000000"/>
          <w:sz w:val="20"/>
          <w:szCs w:val="20"/>
        </w:rPr>
        <w:t xml:space="preserve">7.17. Durante o transcurso da sessão pública, os licitantes serão informados, em tempo real, do valor do menor lance registrado, vedada a identificação do licitante. </w:t>
      </w:r>
    </w:p>
    <w:p>
      <w:pPr>
        <w:pStyle w:val="Normal"/>
        <w:spacing w:lineRule="auto" w:line="240" w:before="57" w:after="57"/>
        <w:jc w:val="both"/>
        <w:rPr>
          <w:rFonts w:ascii="Verdana" w:hAnsi="Verdana"/>
        </w:rPr>
      </w:pPr>
      <w:r>
        <w:rPr>
          <w:rFonts w:cs="Arial" w:ascii="Verdana" w:hAnsi="Verdana"/>
          <w:color w:val="000000"/>
          <w:sz w:val="20"/>
          <w:szCs w:val="20"/>
        </w:rPr>
        <w:t xml:space="preserve">7.18 No caso de desconexão com o Pregoeiro, no decorrer da etapa competitiva do Pregão, o sistema eletrônico poderá permanecer acessível aos licitantes para a recepção dos lances. </w:t>
      </w:r>
    </w:p>
    <w:p>
      <w:pPr>
        <w:pStyle w:val="Normal"/>
        <w:spacing w:lineRule="auto" w:line="240" w:before="57" w:after="57"/>
        <w:jc w:val="both"/>
        <w:rPr>
          <w:rFonts w:ascii="Verdana" w:hAnsi="Verdana"/>
        </w:rPr>
      </w:pPr>
      <w:r>
        <w:rPr>
          <w:rFonts w:cs="Arial" w:ascii="Verdana" w:hAnsi="Verdana"/>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57" w:after="57"/>
        <w:jc w:val="both"/>
        <w:rPr>
          <w:rFonts w:ascii="Verdana" w:hAnsi="Verdana"/>
        </w:rPr>
      </w:pPr>
      <w:r>
        <w:rPr>
          <w:rFonts w:cs="Arial" w:ascii="Verdana" w:hAnsi="Verdana"/>
          <w:color w:val="000000"/>
          <w:sz w:val="20"/>
          <w:szCs w:val="20"/>
        </w:rPr>
        <w:t>7.20 O Critério de julgamento adotado será o de menor preço, conforme definido neste Edital e seus anexos.</w:t>
      </w:r>
    </w:p>
    <w:p>
      <w:pPr>
        <w:pStyle w:val="Normal"/>
        <w:spacing w:lineRule="auto" w:line="240" w:before="57" w:after="57"/>
        <w:jc w:val="both"/>
        <w:rPr>
          <w:rFonts w:ascii="Verdana" w:hAnsi="Verdana"/>
        </w:rPr>
      </w:pPr>
      <w:r>
        <w:rPr>
          <w:rFonts w:cs="Arial" w:ascii="Verdana" w:hAnsi="Verdana"/>
          <w:color w:val="000000"/>
          <w:sz w:val="20"/>
          <w:szCs w:val="20"/>
        </w:rPr>
        <w:t>7.21 Caso o licitante não apresente lances, concorrerá com o valor de sua proposta.</w:t>
      </w:r>
    </w:p>
    <w:p>
      <w:pPr>
        <w:pStyle w:val="Normal"/>
        <w:spacing w:lineRule="auto" w:line="240" w:before="57" w:after="57"/>
        <w:jc w:val="both"/>
        <w:rPr>
          <w:rFonts w:ascii="Verdana" w:hAnsi="Verdana"/>
        </w:rPr>
      </w:pPr>
      <w:r>
        <w:rPr>
          <w:rFonts w:cs="Arial" w:ascii="Verdana" w:hAnsi="Verdana"/>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jc w:val="both"/>
        <w:rPr>
          <w:rFonts w:ascii="Verdana" w:hAnsi="Verdana"/>
        </w:rPr>
      </w:pPr>
      <w:r>
        <w:rPr>
          <w:rFonts w:cs="Arial" w:ascii="Verdana" w:hAnsi="Verdana"/>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jc w:val="both"/>
        <w:rPr>
          <w:rFonts w:ascii="Verdana" w:hAnsi="Verdana"/>
        </w:rPr>
      </w:pPr>
      <w:r>
        <w:rPr>
          <w:rFonts w:cs="Arial" w:ascii="Verdana" w:hAnsi="Verdana"/>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jc w:val="both"/>
        <w:rPr>
          <w:rFonts w:ascii="Verdana" w:hAnsi="Verdana"/>
        </w:rPr>
      </w:pPr>
      <w:r>
        <w:rPr>
          <w:rFonts w:cs="Arial" w:ascii="Verdana" w:hAnsi="Verdana"/>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jc w:val="both"/>
        <w:rPr>
          <w:rFonts w:ascii="Verdana" w:hAnsi="Verdana"/>
        </w:rPr>
      </w:pPr>
      <w:r>
        <w:rPr>
          <w:rFonts w:cs="Arial" w:ascii="Verdana" w:hAnsi="Verdana"/>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jc w:val="both"/>
        <w:rPr>
          <w:rFonts w:ascii="Verdana" w:hAnsi="Verdana"/>
        </w:rPr>
      </w:pPr>
      <w:r>
        <w:rPr>
          <w:rFonts w:cs="Arial" w:ascii="Verdana" w:hAnsi="Verdana"/>
          <w:color w:val="000000"/>
          <w:sz w:val="20"/>
          <w:szCs w:val="20"/>
        </w:rPr>
        <w:t xml:space="preserve">7.27 Só poderá haver empate entre propostas iguais (não seguidas de lances), ou entre lances finais da fase fechada do modo de disputa aberto e fechado. </w:t>
      </w:r>
    </w:p>
    <w:p>
      <w:pPr>
        <w:pStyle w:val="Normal"/>
        <w:spacing w:lineRule="auto" w:line="240" w:before="57" w:after="57"/>
        <w:jc w:val="both"/>
        <w:rPr>
          <w:rFonts w:ascii="Verdana" w:hAnsi="Verdana"/>
        </w:rPr>
      </w:pPr>
      <w:r>
        <w:rPr>
          <w:rFonts w:cs="Arial" w:ascii="Verdana" w:hAnsi="Verdana"/>
          <w:color w:val="000000"/>
          <w:sz w:val="20"/>
          <w:szCs w:val="20"/>
        </w:rPr>
        <w:t>7.28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jc w:val="both"/>
        <w:rPr>
          <w:rFonts w:ascii="Verdana" w:hAnsi="Verdana"/>
        </w:rPr>
      </w:pPr>
      <w:r>
        <w:rPr>
          <w:rFonts w:cs="Arial" w:ascii="Verdana" w:hAnsi="Verdana"/>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jc w:val="both"/>
        <w:rPr>
          <w:rFonts w:ascii="Verdana" w:hAnsi="Verdana"/>
        </w:rPr>
      </w:pPr>
      <w:r>
        <w:rPr>
          <w:rFonts w:cs="Arial" w:ascii="Verdana" w:hAnsi="Verdana"/>
          <w:color w:val="000000"/>
          <w:sz w:val="20"/>
          <w:szCs w:val="20"/>
          <w:lang w:eastAsia="en-US"/>
        </w:rPr>
        <w:t>7.28.3 Por empresas brasileiras;</w:t>
      </w:r>
    </w:p>
    <w:p>
      <w:pPr>
        <w:pStyle w:val="Normal"/>
        <w:spacing w:lineRule="auto" w:line="240" w:before="57" w:after="57"/>
        <w:jc w:val="both"/>
        <w:rPr>
          <w:rFonts w:ascii="Verdana" w:hAnsi="Verdana"/>
        </w:rPr>
      </w:pPr>
      <w:r>
        <w:rPr>
          <w:rFonts w:cs="Arial" w:ascii="Verdana" w:hAnsi="Verdana"/>
          <w:color w:val="000000"/>
          <w:sz w:val="20"/>
          <w:szCs w:val="20"/>
          <w:lang w:eastAsia="en-US"/>
        </w:rPr>
        <w:t>7.28.4 Por empresas que invistam em pesquisa e no desenvolvimento de tecnologia no País;</w:t>
      </w:r>
    </w:p>
    <w:p>
      <w:pPr>
        <w:pStyle w:val="Normal"/>
        <w:spacing w:lineRule="auto" w:line="240" w:before="57" w:after="57"/>
        <w:jc w:val="both"/>
        <w:rPr/>
      </w:pPr>
      <w:r>
        <w:rPr>
          <w:rFonts w:cs="Arial" w:ascii="Verdana" w:hAnsi="Verdana"/>
          <w:color w:val="000000"/>
          <w:sz w:val="20"/>
          <w:szCs w:val="20"/>
          <w:lang w:eastAsia="en-US"/>
        </w:rPr>
        <w:t xml:space="preserve">7.28.5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40" w:before="57" w:after="57"/>
        <w:jc w:val="both"/>
        <w:rPr>
          <w:rFonts w:ascii="Verdana" w:hAnsi="Verdana"/>
        </w:rPr>
      </w:pPr>
      <w:r>
        <w:rPr>
          <w:rFonts w:cs="Arial" w:ascii="Verdana" w:hAnsi="Verdana"/>
          <w:color w:val="000000"/>
          <w:sz w:val="20"/>
          <w:szCs w:val="20"/>
          <w:lang w:eastAsia="en-US"/>
        </w:rPr>
        <w:t xml:space="preserve">7.29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jc w:val="both"/>
        <w:rPr>
          <w:rFonts w:ascii="Verdana" w:hAnsi="Verdana"/>
        </w:rPr>
      </w:pPr>
      <w:r>
        <w:rPr>
          <w:rFonts w:cs="Arial" w:ascii="Verdana" w:hAnsi="Verdana"/>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7.30.1 A negociação será realizada por meio do sistema, podendo ser acompanhada pelos demais licitantes.</w:t>
      </w:r>
    </w:p>
    <w:p>
      <w:pPr>
        <w:pStyle w:val="ListParagraph"/>
        <w:tabs>
          <w:tab w:val="clear" w:pos="720"/>
          <w:tab w:val="left" w:pos="-12" w:leader="none"/>
        </w:tabs>
        <w:spacing w:lineRule="auto" w:line="240" w:before="57" w:after="57"/>
        <w:ind w:left="0"/>
        <w:contextualSpacing w:val="false"/>
        <w:jc w:val="both"/>
        <w:rPr>
          <w:rFonts w:ascii="Verdana" w:hAnsi="Verdana"/>
        </w:rPr>
      </w:pPr>
      <w:r>
        <w:rPr>
          <w:rFonts w:cs="Arial" w:ascii="Verdana" w:hAnsi="Verdana"/>
          <w:color w:val="000000"/>
          <w:sz w:val="20"/>
          <w:szCs w:val="20"/>
        </w:rPr>
        <w:t>7.30.2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rPr>
        <w:t>7.31 Após a negociação do preço, o Pregoeiro iniciará a fase de aceitação e julgamento da proposta.</w:t>
      </w:r>
    </w:p>
    <w:p>
      <w:pPr>
        <w:pStyle w:val="ListParagraph"/>
        <w:tabs>
          <w:tab w:val="clear" w:pos="720"/>
          <w:tab w:val="left" w:pos="-12" w:leader="none"/>
        </w:tabs>
        <w:spacing w:lineRule="auto" w:line="240" w:before="0" w:after="0"/>
        <w:ind w:left="0"/>
        <w:contextualSpacing w:val="false"/>
        <w:jc w:val="both"/>
        <w:rPr>
          <w:rFonts w:ascii="Verdana" w:hAnsi="Verdana"/>
          <w:color w:val="000000"/>
          <w:sz w:val="20"/>
          <w:szCs w:val="20"/>
        </w:rPr>
      </w:pPr>
      <w:r>
        <w:rPr>
          <w:rFonts w:ascii="Verdana" w:hAnsi="Verdana"/>
          <w:color w:val="000000"/>
          <w:sz w:val="20"/>
          <w:szCs w:val="20"/>
        </w:rPr>
      </w:r>
    </w:p>
    <w:p>
      <w:pPr>
        <w:pStyle w:val="Nivel01"/>
        <w:numPr>
          <w:ilvl w:val="0"/>
          <w:numId w:val="2"/>
        </w:numPr>
        <w:tabs>
          <w:tab w:val="clear" w:pos="567"/>
          <w:tab w:val="left" w:pos="517" w:leader="none"/>
        </w:tabs>
        <w:spacing w:lineRule="auto" w:line="240" w:before="0" w:after="0"/>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20"/>
          <w:tab w:val="left" w:pos="517" w:leader="none"/>
        </w:tabs>
        <w:spacing w:lineRule="auto" w:line="240" w:before="0" w:after="0"/>
        <w:ind w:hanging="0" w:left="0"/>
        <w:contextualSpacing/>
        <w:jc w:val="both"/>
        <w:rPr>
          <w:rFonts w:ascii="Verdana" w:hAnsi="Verdana"/>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lineRule="auto" w:line="240" w:before="0" w:after="0"/>
        <w:ind w:hanging="0" w:left="0"/>
        <w:jc w:val="both"/>
        <w:rPr>
          <w:rFonts w:ascii="Verdana" w:hAnsi="Verdana"/>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tabs>
          <w:tab w:val="clear" w:pos="720"/>
          <w:tab w:val="left" w:pos="517" w:leader="none"/>
        </w:tabs>
        <w:spacing w:lineRule="auto" w:line="240" w:before="57" w:after="57"/>
        <w:ind w:hanging="0" w:left="0"/>
        <w:jc w:val="both"/>
        <w:rPr>
          <w:rFonts w:ascii="Verdana" w:hAnsi="Verdana"/>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91"/>
          <w:sz w:val="20"/>
          <w:u w:val="single"/>
          <w:szCs w:val="20"/>
          <w:rFonts w:cs="Arial" w:ascii="Verdana" w:hAnsi="Verdana"/>
          <w:color w:val="000080"/>
        </w:rPr>
        <w:fldChar w:fldCharType="separate"/>
      </w:r>
      <w:r>
        <w:rPr>
          <w:rStyle w:val="ListLabel191"/>
          <w:rFonts w:cs="Arial" w:ascii="Verdana" w:hAnsi="Verdana"/>
          <w:color w:val="000080"/>
          <w:sz w:val="20"/>
          <w:szCs w:val="20"/>
          <w:u w:val="single"/>
        </w:rPr>
        <w:t>artigo 29 a 35 da IN SEGES nº 73, de 30 de setembro de 2022</w:t>
      </w:r>
      <w:r>
        <w:rPr>
          <w:rStyle w:val="ListLabel1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40" w:before="57" w:after="57"/>
        <w:ind w:hanging="0" w:left="0"/>
        <w:jc w:val="both"/>
        <w:rPr>
          <w:rFonts w:ascii="Verdana" w:hAnsi="Verdana"/>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8.4.1 não estiver em conformidade com os requisitos estabelecidos neste edital;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8.4.2 contenha vício insanável ou ilegalidade;</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8.4.3 não apresente as especificações técnicas exigidas pelo Termo de Referência;</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8.5 É vedado à proponente incluir na Planilha de Custos e Formação de Preços:</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8.5.5 rubrica para pagamento do Imposto de Renda Pessoa Jurídica – IRPJ e da Contribuição Social Sobre o Lucro Líquido – CSLL;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8.5.6 rubrica denominada “verba” ou “verba provisional”, pois o item não está vinculado a qualquer contraprestação mensurável.</w:t>
      </w:r>
    </w:p>
    <w:p>
      <w:pPr>
        <w:pStyle w:val="Normal"/>
        <w:numPr>
          <w:ilvl w:val="1"/>
          <w:numId w:val="2"/>
        </w:numPr>
        <w:tabs>
          <w:tab w:val="clear" w:pos="720"/>
          <w:tab w:val="left" w:pos="517" w:leader="none"/>
        </w:tabs>
        <w:spacing w:lineRule="auto" w:line="240" w:before="57" w:after="57"/>
        <w:ind w:hanging="0" w:left="0"/>
        <w:jc w:val="both"/>
        <w:rPr>
          <w:rFonts w:ascii="Verdana" w:hAnsi="Verdana"/>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8.7.1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lineRule="auto" w:line="240" w:before="57" w:after="57"/>
        <w:ind w:hanging="0" w:left="0"/>
        <w:jc w:val="both"/>
        <w:rPr>
          <w:rFonts w:ascii="Verdana" w:hAnsi="Verdana"/>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lineRule="auto" w:line="240" w:before="57" w:after="57"/>
        <w:ind w:hanging="0" w:left="0"/>
        <w:jc w:val="both"/>
        <w:rPr>
          <w:rFonts w:ascii="Verdana" w:hAnsi="Verdana"/>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lineRule="auto" w:line="240" w:before="57" w:after="57"/>
        <w:ind w:hanging="0" w:left="0"/>
        <w:jc w:val="both"/>
        <w:rPr>
          <w:rFonts w:ascii="Verdana" w:hAnsi="Verdana"/>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8.10.1 As propostas com preços próximos ou inferiores ao mínimo estabelecido pela Prefeitura Municipal de São Gabriel da Palha, disponibilizado em meio eletrônico, no Portal de Compras Públicas – www.portaldecompraspublicas.com.br,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40" w:before="57" w:after="57"/>
        <w:ind w:left="0"/>
        <w:contextualSpacing w:val="false"/>
        <w:jc w:val="both"/>
        <w:rPr>
          <w:rFonts w:ascii="Verdana" w:hAnsi="Verdana"/>
        </w:rPr>
      </w:pPr>
      <w:r>
        <w:rPr>
          <w:rFonts w:cs="Arial" w:ascii="Verdana" w:hAnsi="Verdana"/>
          <w:color w:val="000000"/>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40" w:before="57" w:after="57"/>
        <w:ind w:left="0"/>
        <w:contextualSpacing w:val="false"/>
        <w:jc w:val="both"/>
        <w:rPr>
          <w:rFonts w:ascii="Verdana" w:hAnsi="Verdana"/>
        </w:rPr>
      </w:pPr>
      <w:r>
        <w:rPr>
          <w:rFonts w:cs="Arial" w:ascii="Verdana" w:hAnsi="Verdana"/>
          <w:color w:val="000000"/>
          <w:sz w:val="20"/>
          <w:szCs w:val="20"/>
          <w:lang w:eastAsia="en-US"/>
        </w:rPr>
        <w:t>8.12.1 É facultado ao pregoeiro prorrogar o prazo estabelecido, a partir de solicitação fundamentada feita no chat pelo licitante, antes de findo o prazo.</w:t>
      </w:r>
    </w:p>
    <w:p>
      <w:pPr>
        <w:pStyle w:val="ListParagraph"/>
        <w:spacing w:lineRule="auto" w:line="240" w:before="57" w:after="57"/>
        <w:ind w:left="0"/>
        <w:contextualSpacing w:val="false"/>
        <w:jc w:val="both"/>
        <w:rPr>
          <w:rFonts w:ascii="Verdana" w:hAnsi="Verdana"/>
        </w:rPr>
      </w:pPr>
      <w:r>
        <w:rPr>
          <w:rFonts w:cs="Arial" w:ascii="Verdana" w:hAnsi="Verdana"/>
          <w:sz w:val="20"/>
          <w:szCs w:val="20"/>
          <w:lang w:eastAsia="en-US"/>
        </w:rPr>
        <w:t>8.12.2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rFonts w:ascii="Verdana" w:hAnsi="Verdana"/>
        </w:rPr>
      </w:pP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57" w:after="57"/>
        <w:ind w:hanging="0" w:left="0"/>
        <w:jc w:val="both"/>
        <w:rPr>
          <w:rFonts w:ascii="Verdana" w:hAnsi="Verdana"/>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57" w:after="57"/>
        <w:ind w:hanging="0" w:left="0"/>
        <w:jc w:val="both"/>
        <w:rPr>
          <w:rFonts w:ascii="Verdana" w:hAnsi="Verdana"/>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0" w:after="0"/>
        <w:ind w:hanging="0" w:left="0"/>
        <w:jc w:val="both"/>
        <w:rPr>
          <w:rFonts w:ascii="Verdana" w:hAnsi="Verdana"/>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0" w:after="0"/>
        <w:ind w:hanging="0" w:left="0"/>
        <w:jc w:val="both"/>
        <w:rPr>
          <w:rFonts w:ascii="Verdana" w:hAnsi="Verdana"/>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40" w:before="0" w:after="0"/>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567"/>
        <w:contextualSpacing w:val="false"/>
        <w:jc w:val="both"/>
        <w:rPr>
          <w:rFonts w:ascii="Verdana" w:hAnsi="Verdana"/>
        </w:rPr>
      </w:pPr>
      <w:r>
        <w:rPr>
          <w:rFonts w:cs="Arial" w:ascii="Verdana" w:hAnsi="Verdana"/>
          <w:sz w:val="20"/>
          <w:szCs w:val="20"/>
          <w:lang w:eastAsia="ar-SA"/>
        </w:rPr>
        <w:t>a) SICAF;</w:t>
      </w:r>
    </w:p>
    <w:p>
      <w:pPr>
        <w:pStyle w:val="ListParagraph"/>
        <w:spacing w:lineRule="auto" w:line="240" w:before="57" w:after="57"/>
        <w:ind w:left="567"/>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2">
        <w:r>
          <w:rPr>
            <w:rStyle w:val="ListLabel1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left="567"/>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3">
        <w:r>
          <w:rPr>
            <w:rStyle w:val="ListLabel1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left="567"/>
        <w:contextualSpacing w:val="false"/>
        <w:jc w:val="both"/>
        <w:rPr>
          <w:rFonts w:ascii="Verdana" w:hAnsi="Verdana"/>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ind w:left="56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4">
        <w:r>
          <w:rPr>
            <w:rStyle w:val="ListLabel1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5">
        <w:r>
          <w:rPr>
            <w:rStyle w:val="ListLabel1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jc w:val="both"/>
        <w:rPr>
          <w:rFonts w:ascii="Verdana" w:hAnsi="Verdana"/>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left="0"/>
        <w:contextualSpacing w:val="false"/>
        <w:jc w:val="both"/>
        <w:rPr>
          <w:rFonts w:ascii="Verdana" w:hAnsi="Verdana"/>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left="0"/>
        <w:contextualSpacing w:val="false"/>
        <w:jc w:val="both"/>
        <w:rPr>
          <w:rFonts w:ascii="Verdana" w:hAnsi="Verdana"/>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240" w:before="57" w:after="57"/>
        <w:ind w:hanging="0" w:left="0"/>
        <w:contextualSpacing w:val="false"/>
        <w:jc w:val="both"/>
        <w:rPr>
          <w:rFonts w:ascii="Verdana" w:hAnsi="Verdana"/>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lineRule="auto" w:line="240" w:before="57" w:after="57"/>
        <w:ind w:hanging="0" w:left="0"/>
        <w:rPr>
          <w:rFonts w:ascii="Verdana" w:hAnsi="Verdana"/>
        </w:rPr>
      </w:pPr>
      <w:r>
        <w:rPr>
          <w:rFonts w:cs="Arial" w:ascii="Verdana" w:hAnsi="Verdana"/>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lineRule="auto" w:line="240" w:before="57" w:after="57"/>
        <w:ind w:hanging="0" w:left="0"/>
        <w:rPr>
          <w:rFonts w:ascii="Verdana" w:hAnsi="Verdana"/>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lineRule="auto" w:line="240" w:before="57" w:after="57"/>
        <w:ind w:hanging="0" w:left="0"/>
        <w:rPr>
          <w:rFonts w:ascii="Verdana" w:hAnsi="Verdana"/>
        </w:rPr>
      </w:pPr>
      <w:r>
        <w:rPr>
          <w:rFonts w:cs="Arial" w:ascii="Verdana" w:hAnsi="Verdana"/>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lineRule="auto" w:line="240" w:before="57" w:after="57"/>
        <w:ind w:hanging="0" w:left="0"/>
        <w:rPr>
          <w:rFonts w:ascii="Verdana" w:hAnsi="Verdana"/>
        </w:rPr>
      </w:pPr>
      <w:r>
        <w:rPr>
          <w:rFonts w:cs="Arial" w:ascii="Verdana" w:hAnsi="Verdana"/>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lineRule="auto" w:line="240" w:before="57" w:after="57"/>
        <w:ind w:hanging="0" w:left="0"/>
        <w:rPr>
          <w:rFonts w:ascii="Verdana" w:hAnsi="Verdana"/>
        </w:rPr>
      </w:pPr>
      <w:r>
        <w:rPr>
          <w:rFonts w:cs="Arial" w:ascii="Verdana" w:hAnsi="Verdana"/>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6">
        <w:r>
          <w:rPr>
            <w:rStyle w:val="ListLabel1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20"/>
          <w:tab w:val="left" w:pos="850" w:leader="none"/>
        </w:tabs>
        <w:snapToGrid w:val="false"/>
        <w:spacing w:lineRule="auto" w:line="240" w:before="57" w:after="57"/>
        <w:jc w:val="both"/>
        <w:rPr>
          <w:rFonts w:ascii="Verdana" w:hAnsi="Verdana"/>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ListParagraph"/>
        <w:tabs>
          <w:tab w:val="clear" w:pos="720"/>
          <w:tab w:val="left" w:pos="4305" w:leader="none"/>
        </w:tabs>
        <w:spacing w:lineRule="auto" w:line="240" w:before="57" w:after="57"/>
        <w:ind w:left="0"/>
        <w:contextualSpacing w:val="false"/>
        <w:jc w:val="both"/>
        <w:rPr>
          <w:rFonts w:ascii="Verdana" w:hAnsi="Verdana"/>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2"/>
          <w:numId w:val="4"/>
        </w:numPr>
        <w:snapToGrid w:val="false"/>
        <w:spacing w:lineRule="auto" w:line="240" w:before="57" w:after="57"/>
        <w:ind w:hanging="0" w:left="0"/>
        <w:contextualSpacing w:val="false"/>
        <w:jc w:val="both"/>
        <w:rPr>
          <w:rFonts w:ascii="Verdana" w:hAnsi="Verdana"/>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2"/>
          <w:numId w:val="4"/>
        </w:numPr>
        <w:snapToGrid w:val="false"/>
        <w:spacing w:lineRule="auto" w:line="240" w:before="57" w:after="57"/>
        <w:ind w:hanging="0" w:left="0"/>
        <w:contextualSpacing w:val="false"/>
        <w:jc w:val="both"/>
        <w:rPr>
          <w:rFonts w:ascii="Verdana" w:hAnsi="Verdana"/>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4"/>
        </w:numPr>
        <w:snapToGrid w:val="false"/>
        <w:spacing w:lineRule="auto" w:line="240" w:before="57" w:after="57"/>
        <w:ind w:hanging="0" w:left="0"/>
        <w:contextualSpacing w:val="false"/>
        <w:jc w:val="both"/>
        <w:rPr>
          <w:rFonts w:ascii="Verdana" w:hAnsi="Verdana"/>
        </w:rPr>
      </w:pPr>
      <w:r>
        <w:rPr>
          <w:rFonts w:cs="Arial" w:ascii="Verdana" w:hAnsi="Verdana"/>
          <w:bCs/>
          <w:color w:val="000000"/>
          <w:sz w:val="20"/>
          <w:szCs w:val="20"/>
        </w:rPr>
        <w:t>A declaração do vencedor acontecerá no momento imediatamente posterior à fase de habilitação</w:t>
      </w:r>
    </w:p>
    <w:p>
      <w:pPr>
        <w:pStyle w:val="ListParagraph"/>
        <w:numPr>
          <w:ilvl w:val="2"/>
          <w:numId w:val="4"/>
        </w:numPr>
        <w:snapToGrid w:val="false"/>
        <w:spacing w:lineRule="auto" w:line="240" w:before="57" w:after="57"/>
        <w:ind w:hanging="0" w:left="0"/>
        <w:contextualSpacing w:val="false"/>
        <w:jc w:val="both"/>
        <w:rPr>
          <w:rFonts w:ascii="Verdana" w:hAnsi="Verdana"/>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2"/>
          <w:numId w:val="4"/>
        </w:numPr>
        <w:snapToGrid w:val="false"/>
        <w:spacing w:lineRule="auto" w:line="240" w:before="57" w:after="57"/>
        <w:ind w:hanging="0" w:left="0"/>
        <w:contextualSpacing w:val="false"/>
        <w:jc w:val="both"/>
        <w:rPr>
          <w:rFonts w:ascii="Verdana" w:hAnsi="Verdana"/>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2"/>
          <w:numId w:val="4"/>
        </w:numPr>
        <w:snapToGrid w:val="false"/>
        <w:spacing w:lineRule="auto" w:line="240" w:before="57" w:after="57"/>
        <w:ind w:hanging="0" w:left="0"/>
        <w:contextualSpacing w:val="false"/>
        <w:jc w:val="both"/>
        <w:rPr>
          <w:rFonts w:ascii="Verdana" w:hAnsi="Verdana"/>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2"/>
          <w:numId w:val="4"/>
        </w:numPr>
        <w:tabs>
          <w:tab w:val="clear" w:pos="720"/>
          <w:tab w:val="left" w:pos="900" w:leader="none"/>
        </w:tabs>
        <w:snapToGrid w:val="false"/>
        <w:spacing w:lineRule="auto" w:line="240" w:before="57" w:after="57"/>
        <w:ind w:hanging="0" w:left="0"/>
        <w:contextualSpacing w:val="false"/>
        <w:jc w:val="both"/>
        <w:rPr>
          <w:rFonts w:ascii="Verdana" w:hAnsi="Verdana"/>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2"/>
          <w:numId w:val="4"/>
        </w:numPr>
        <w:tabs>
          <w:tab w:val="clear" w:pos="720"/>
          <w:tab w:val="left" w:pos="900" w:leader="none"/>
        </w:tabs>
        <w:snapToGrid w:val="false"/>
        <w:spacing w:lineRule="auto" w:line="240" w:before="57" w:after="57"/>
        <w:ind w:hanging="0" w:left="0"/>
        <w:contextualSpacing w:val="false"/>
        <w:jc w:val="both"/>
        <w:rPr>
          <w:rFonts w:ascii="Verdana" w:hAnsi="Verdana"/>
        </w:rPr>
      </w:pPr>
      <w:r>
        <w:rPr>
          <w:rFonts w:cs="Arial" w:ascii="Verdana" w:hAnsi="Verdana"/>
          <w:color w:val="000000"/>
          <w:sz w:val="20"/>
          <w:szCs w:val="20"/>
        </w:rPr>
        <w:t>Constatado o atendimento às exigências de habilitação fixadas no Edital, o licitante será declarado vencedor.</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4"/>
        </w:numPr>
        <w:spacing w:lineRule="auto" w:line="240" w:before="57" w:after="57"/>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tabs>
          <w:tab w:val="clear" w:pos="720"/>
          <w:tab w:val="left" w:pos="617" w:leader="none"/>
        </w:tabs>
        <w:spacing w:lineRule="auto" w:line="240" w:before="57" w:after="57"/>
        <w:ind w:left="0"/>
        <w:contextualSpacing w:val="false"/>
        <w:jc w:val="both"/>
        <w:rPr>
          <w:rFonts w:ascii="Verdana" w:hAnsi="Verdana"/>
        </w:rPr>
      </w:pPr>
      <w:r>
        <w:rPr>
          <w:rFonts w:cs="Arial" w:ascii="Verdana" w:hAnsi="Verdana"/>
          <w:iCs/>
          <w:sz w:val="20"/>
          <w:szCs w:val="20"/>
        </w:rPr>
        <w:t xml:space="preserve">10.1 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tabs>
          <w:tab w:val="clear" w:pos="720"/>
          <w:tab w:val="left" w:pos="617" w:leader="none"/>
          <w:tab w:val="left" w:pos="900" w:leader="none"/>
        </w:tabs>
        <w:spacing w:lineRule="auto" w:line="240" w:before="57" w:after="57"/>
        <w:jc w:val="both"/>
        <w:rPr>
          <w:rFonts w:ascii="Verdana" w:hAnsi="Verdana"/>
        </w:rPr>
      </w:pPr>
      <w:r>
        <w:rPr>
          <w:rFonts w:cs="Arial" w:ascii="Verdana" w:hAnsi="Verdana"/>
          <w:iCs/>
          <w:sz w:val="20"/>
          <w:szCs w:val="20"/>
        </w:rPr>
        <w:t>10.1.1 Ser redigida em língua portuguesa, datilografada ou digitada, em uma via, sem emendas, rasuras, entrelinhas ou ressalvas, devendo a última folha ser assinada e as demais rubricadas pelo licitante ou seu representante legal.</w:t>
      </w:r>
    </w:p>
    <w:p>
      <w:pPr>
        <w:pStyle w:val="Normal"/>
        <w:tabs>
          <w:tab w:val="clear" w:pos="720"/>
          <w:tab w:val="left" w:pos="617" w:leader="none"/>
          <w:tab w:val="left" w:pos="900" w:leader="none"/>
        </w:tabs>
        <w:spacing w:lineRule="auto" w:line="240" w:before="57" w:after="57"/>
        <w:jc w:val="both"/>
        <w:rPr>
          <w:rFonts w:ascii="Verdana" w:hAnsi="Verdana"/>
        </w:rPr>
      </w:pPr>
      <w:r>
        <w:rPr>
          <w:rFonts w:cs="Arial" w:ascii="Verdana" w:hAnsi="Verdana"/>
          <w:iCs/>
          <w:sz w:val="20"/>
          <w:szCs w:val="20"/>
        </w:rPr>
        <w:t>10.1.2 Apresentar a planilha de custos e formação de preços, devidamente ajustada ao lance vencedor, em conformidade com o modelo anexo a este instrumento convocatório.</w:t>
      </w:r>
    </w:p>
    <w:p>
      <w:pPr>
        <w:pStyle w:val="Normal"/>
        <w:tabs>
          <w:tab w:val="clear" w:pos="720"/>
          <w:tab w:val="left" w:pos="617" w:leader="none"/>
          <w:tab w:val="left" w:pos="900" w:leader="none"/>
        </w:tabs>
        <w:spacing w:lineRule="auto" w:line="240" w:before="57" w:after="57"/>
        <w:jc w:val="both"/>
        <w:rPr>
          <w:rFonts w:ascii="Verdana" w:hAnsi="Verdana"/>
        </w:rPr>
      </w:pPr>
      <w:r>
        <w:rPr>
          <w:rFonts w:cs="Arial" w:ascii="Verdana" w:hAnsi="Verdana"/>
          <w:iCs/>
          <w:sz w:val="20"/>
          <w:szCs w:val="20"/>
        </w:rPr>
        <w:t>10.1.3 Conter a indicação do banco, número da conta e agência do licitante vencedor, para fins de pagamento.</w:t>
      </w:r>
    </w:p>
    <w:p>
      <w:pPr>
        <w:pStyle w:val="ListParagraph"/>
        <w:spacing w:lineRule="auto" w:line="240" w:before="57" w:after="57"/>
        <w:ind w:left="0"/>
        <w:contextualSpacing w:val="false"/>
        <w:jc w:val="both"/>
        <w:rPr>
          <w:rFonts w:ascii="Verdana" w:hAnsi="Verdana"/>
        </w:rPr>
      </w:pPr>
      <w:r>
        <w:rPr>
          <w:rFonts w:cs="Arial" w:ascii="Verdana" w:hAnsi="Verdana"/>
          <w:iCs/>
          <w:sz w:val="20"/>
          <w:szCs w:val="20"/>
        </w:rPr>
        <w:t>10.2 A proposta final deverá ser documentada nos autos e será levada em consideração no decorrer da execução do contrato e aplicação de eventual sanção à Contratada, se for o caso.</w:t>
      </w:r>
    </w:p>
    <w:p>
      <w:pPr>
        <w:pStyle w:val="Normal"/>
        <w:tabs>
          <w:tab w:val="clear" w:pos="720"/>
          <w:tab w:val="left" w:pos="850" w:leader="none"/>
        </w:tabs>
        <w:spacing w:lineRule="auto" w:line="240" w:before="57" w:after="57"/>
        <w:jc w:val="both"/>
        <w:rPr>
          <w:rFonts w:ascii="Verdana" w:hAnsi="Verdana"/>
        </w:rPr>
      </w:pPr>
      <w:r>
        <w:rPr>
          <w:rFonts w:cs="Arial" w:ascii="Verdana" w:hAnsi="Verdana"/>
          <w:iCs/>
          <w:sz w:val="20"/>
          <w:szCs w:val="20"/>
        </w:rPr>
        <w:t>10.2.1 Todas as especificações do objeto contidas na proposta, tais como marca, modelo, tipo, fabricante e procedência, vinculam a Contratada.</w:t>
      </w:r>
    </w:p>
    <w:p>
      <w:pPr>
        <w:pStyle w:val="ListParagraph"/>
        <w:spacing w:lineRule="auto" w:line="240" w:before="57" w:after="57"/>
        <w:ind w:left="0"/>
        <w:contextualSpacing w:val="false"/>
        <w:jc w:val="both"/>
        <w:rPr>
          <w:rFonts w:ascii="Verdana" w:hAnsi="Verdana"/>
        </w:rPr>
      </w:pPr>
      <w:r>
        <w:rPr>
          <w:rFonts w:cs="Arial" w:ascii="Verdana" w:hAnsi="Verdana"/>
          <w:sz w:val="20"/>
          <w:szCs w:val="20"/>
        </w:rPr>
        <w:t>10.3 Os preços deverão ser expressos em moeda corrente nacional, o valor unitário em algarismos e o valor global em algarismos e por extenso.</w:t>
      </w:r>
    </w:p>
    <w:p>
      <w:pPr>
        <w:pStyle w:val="Normal"/>
        <w:tabs>
          <w:tab w:val="clear" w:pos="720"/>
          <w:tab w:val="left" w:pos="850" w:leader="none"/>
        </w:tabs>
        <w:spacing w:lineRule="auto" w:line="240" w:before="57" w:after="57"/>
        <w:jc w:val="both"/>
        <w:rPr>
          <w:rFonts w:ascii="Verdana" w:hAnsi="Verdana"/>
        </w:rPr>
      </w:pPr>
      <w:r>
        <w:rPr>
          <w:rFonts w:cs="Arial" w:ascii="Verdana" w:hAnsi="Verdana"/>
          <w:sz w:val="20"/>
          <w:szCs w:val="20"/>
        </w:rPr>
        <w:t>10.3.1 Ocorrendo divergência entre os preços unitários e o preço global, prevalecerão os primeiros; no caso de divergência entre os valores numéricos e os valores expressos por extenso, prevalecerão estes últimos.</w:t>
      </w:r>
    </w:p>
    <w:p>
      <w:pPr>
        <w:pStyle w:val="ListParagraph"/>
        <w:spacing w:lineRule="auto" w:line="240" w:before="57" w:after="57"/>
        <w:ind w:left="0"/>
        <w:contextualSpacing w:val="false"/>
        <w:jc w:val="both"/>
        <w:rPr>
          <w:rFonts w:ascii="Verdana" w:hAnsi="Verdana"/>
        </w:rPr>
      </w:pPr>
      <w:r>
        <w:rPr>
          <w:rFonts w:cs="Arial" w:ascii="Verdana" w:hAnsi="Verdana"/>
          <w:sz w:val="20"/>
          <w:szCs w:val="20"/>
        </w:rPr>
        <w:t>10.4 A oferta deverá ser firme e precisa, limitada, rigorosamente, ao objeto deste Edital, sem conter alternativas de preço ou de qualquer outra condição que induza o julgamento a mais de um resultado, sob pena de desclassificação.</w:t>
      </w:r>
    </w:p>
    <w:p>
      <w:pPr>
        <w:pStyle w:val="ListParagraph"/>
        <w:spacing w:lineRule="auto" w:line="240" w:before="57" w:after="57"/>
        <w:ind w:left="0"/>
        <w:contextualSpacing w:val="false"/>
        <w:jc w:val="both"/>
        <w:rPr>
          <w:rFonts w:ascii="Verdana" w:hAnsi="Verdana"/>
        </w:rPr>
      </w:pPr>
      <w:r>
        <w:rPr>
          <w:rFonts w:cs="Arial" w:ascii="Verdana" w:hAnsi="Verdana"/>
          <w:sz w:val="20"/>
          <w:szCs w:val="20"/>
        </w:rPr>
        <w:t>10.5 A proposta deverá obedecer aos termos deste Edital e seus Anexos, não sendo considerada aquela que não corresponda às especificações ali contidas ou que estabeleça vínculo à proposta de outro licitante.</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10.6 As propostas que contenham a descrição do objeto, o valor e os documentos complementares estarão disponíveis na internet, após a homologação.</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4"/>
        </w:numPr>
        <w:spacing w:lineRule="auto" w:line="240" w:before="57" w:after="57"/>
        <w:ind w:hanging="0" w:left="0"/>
        <w:rPr>
          <w:rFonts w:ascii="Verdana" w:hAnsi="Verdana"/>
        </w:rPr>
      </w:pPr>
      <w:r>
        <w:rPr>
          <w:rFonts w:cs="Arial" w:ascii="Verdana" w:hAnsi="Verdana"/>
          <w:lang w:eastAsia="en-US"/>
        </w:rPr>
        <w:t>DOS RECURSOS</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11.1 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11.2 Havendo quem se manifeste, caberá ao Pregoeiro verificar a tempestividade e a existência de motivação da intenção de recorrer, para decidir se admite ou não o recurso, fundamentadamente.</w:t>
      </w:r>
    </w:p>
    <w:p>
      <w:pPr>
        <w:pStyle w:val="Normal"/>
        <w:tabs>
          <w:tab w:val="clear" w:pos="720"/>
          <w:tab w:val="left" w:pos="850" w:leader="none"/>
        </w:tabs>
        <w:snapToGrid w:val="false"/>
        <w:spacing w:lineRule="auto" w:line="240" w:before="57" w:after="57"/>
        <w:jc w:val="both"/>
        <w:rPr>
          <w:rFonts w:ascii="Verdana" w:hAnsi="Verdana"/>
        </w:rPr>
      </w:pPr>
      <w:r>
        <w:rPr>
          <w:rFonts w:cs="Arial" w:ascii="Verdana" w:hAnsi="Verdana"/>
          <w:color w:val="000000"/>
          <w:sz w:val="20"/>
          <w:szCs w:val="20"/>
        </w:rPr>
        <w:t>11.2.1 Nesse momento o Pregoeiro não adentrará no mérito recursal, mas apenas verificará as condições de admissibilidade do recurso.</w:t>
      </w:r>
    </w:p>
    <w:p>
      <w:pPr>
        <w:pStyle w:val="Normal"/>
        <w:tabs>
          <w:tab w:val="clear" w:pos="720"/>
          <w:tab w:val="left" w:pos="850" w:leader="none"/>
        </w:tabs>
        <w:snapToGrid w:val="false"/>
        <w:spacing w:lineRule="auto" w:line="240" w:before="57" w:after="57"/>
        <w:jc w:val="both"/>
        <w:rPr>
          <w:rFonts w:ascii="Verdana" w:hAnsi="Verdana"/>
        </w:rPr>
      </w:pPr>
      <w:r>
        <w:rPr>
          <w:rFonts w:cs="Arial" w:ascii="Verdana" w:hAnsi="Verdana"/>
          <w:sz w:val="20"/>
          <w:szCs w:val="20"/>
        </w:rPr>
        <w:t>11.2.2 A falta de manifestação motivada do licitante quanto à intenção de recorrer importará a decadência desse direito.</w:t>
      </w:r>
    </w:p>
    <w:p>
      <w:pPr>
        <w:pStyle w:val="Normal"/>
        <w:tabs>
          <w:tab w:val="clear" w:pos="720"/>
          <w:tab w:val="left" w:pos="850" w:leader="none"/>
        </w:tabs>
        <w:snapToGrid w:val="false"/>
        <w:spacing w:lineRule="auto" w:line="240" w:before="57" w:after="57"/>
        <w:jc w:val="both"/>
        <w:rPr>
          <w:rFonts w:ascii="Verdana" w:hAnsi="Verdana"/>
        </w:rPr>
      </w:pPr>
      <w:r>
        <w:rPr>
          <w:rFonts w:cs="Arial" w:ascii="Verdana" w:hAnsi="Verdana"/>
          <w:sz w:val="20"/>
          <w:szCs w:val="20"/>
        </w:rPr>
        <w:t xml:space="preserve">11.2.3 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11.4 O acolhimento do recurso invalida tão somente os atos insuscetíveis de aproveitamento.</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rPr>
        <w:t>11.5 Os autos do processo permanecerão com vista franqueada aos interessados, no endereço constante neste Edital.</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4"/>
        </w:numPr>
        <w:spacing w:lineRule="auto" w:line="240" w:before="0" w:after="0"/>
        <w:ind w:hanging="0" w:left="0"/>
        <w:rPr>
          <w:rFonts w:ascii="Verdana" w:hAnsi="Verdana"/>
        </w:rPr>
      </w:pPr>
      <w:r>
        <w:rPr>
          <w:rFonts w:cs="Arial" w:ascii="Verdana" w:hAnsi="Verdana"/>
          <w:lang w:eastAsia="en-US"/>
        </w:rPr>
        <w:t>DA REABERTURA DA SESSÃO PÚBLICA</w:t>
      </w:r>
    </w:p>
    <w:p>
      <w:pPr>
        <w:pStyle w:val="Nivel01"/>
        <w:keepNext w:val="false"/>
        <w:keepLines w:val="false"/>
        <w:spacing w:lineRule="auto" w:line="240" w:before="0" w:after="0"/>
        <w:rPr>
          <w:rFonts w:ascii="Verdana" w:hAnsi="Verdana"/>
        </w:rPr>
      </w:pPr>
      <w:r>
        <w:rPr>
          <w:rFonts w:cs="Arial" w:ascii="Verdana" w:hAnsi="Verdana"/>
          <w:b w:val="false"/>
          <w:bCs w:val="false"/>
          <w:color w:val="auto"/>
        </w:rPr>
        <w:t>12.1 A sessão pública poderá ser reaberta:</w:t>
      </w:r>
    </w:p>
    <w:p>
      <w:pPr>
        <w:pStyle w:val="Nivel01"/>
        <w:keepNext w:val="false"/>
        <w:keepLines w:val="false"/>
        <w:tabs>
          <w:tab w:val="left" w:pos="567" w:leader="none"/>
          <w:tab w:val="left" w:pos="850" w:leader="none"/>
        </w:tabs>
        <w:spacing w:lineRule="auto" w:line="240" w:before="0" w:after="0"/>
        <w:rPr>
          <w:rFonts w:ascii="Verdana" w:hAnsi="Verdana"/>
        </w:rPr>
      </w:pPr>
      <w:r>
        <w:rPr>
          <w:rFonts w:cs="Arial" w:ascii="Verdana" w:hAnsi="Verdana"/>
          <w:b w:val="false"/>
          <w:bCs w:val="false"/>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tabs>
          <w:tab w:val="left" w:pos="567" w:leader="none"/>
          <w:tab w:val="left" w:pos="850" w:leader="none"/>
        </w:tabs>
        <w:spacing w:lineRule="auto" w:line="240" w:before="57" w:after="57"/>
        <w:rPr>
          <w:rFonts w:ascii="Verdana" w:hAnsi="Verdana"/>
        </w:rPr>
      </w:pPr>
      <w:r>
        <w:rPr>
          <w:rFonts w:cs="Arial" w:ascii="Verdana" w:hAnsi="Verdana"/>
          <w:b w:val="false"/>
          <w:bCs w:val="false"/>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spacing w:lineRule="auto" w:line="240" w:before="57" w:after="57"/>
        <w:rPr>
          <w:rFonts w:ascii="Verdana" w:hAnsi="Verdana"/>
        </w:rPr>
      </w:pPr>
      <w:r>
        <w:rPr>
          <w:rFonts w:cs="Arial" w:ascii="Verdana" w:hAnsi="Verdana"/>
          <w:b w:val="false"/>
          <w:bCs w:val="false"/>
          <w:color w:val="auto"/>
        </w:rPr>
        <w:t>12.2 Todos os licitantes remanescentes deverão ser convocados para acompanhar a sessão reaberta.</w:t>
      </w:r>
    </w:p>
    <w:p>
      <w:pPr>
        <w:pStyle w:val="Nivel01"/>
        <w:keepNext w:val="false"/>
        <w:keepLines w:val="false"/>
        <w:tabs>
          <w:tab w:val="left" w:pos="567" w:leader="none"/>
          <w:tab w:val="left" w:pos="850" w:leader="none"/>
        </w:tabs>
        <w:spacing w:lineRule="auto" w:line="240" w:before="57" w:after="57"/>
        <w:rPr>
          <w:rFonts w:ascii="Verdana" w:hAnsi="Verdana"/>
        </w:rPr>
      </w:pPr>
      <w:r>
        <w:rPr>
          <w:rFonts w:cs="Arial" w:ascii="Verdana" w:hAnsi="Verdana"/>
          <w:b w:val="false"/>
          <w:bCs w:val="false"/>
          <w:color w:val="auto"/>
        </w:rPr>
        <w:t>12.2.1 A convocação se dará por meio do sistema eletrônico (“chat”), e-mail, de acordo com a fase do procedimento licitatório.</w:t>
      </w:r>
    </w:p>
    <w:p>
      <w:pPr>
        <w:pStyle w:val="Nivel01"/>
        <w:tabs>
          <w:tab w:val="left" w:pos="567" w:leader="none"/>
          <w:tab w:val="left" w:pos="850" w:leader="none"/>
        </w:tabs>
        <w:spacing w:lineRule="auto" w:line="240" w:before="0" w:after="0"/>
        <w:rPr>
          <w:rFonts w:ascii="Verdana" w:hAnsi="Verdana"/>
        </w:rPr>
      </w:pPr>
      <w:r>
        <w:rPr>
          <w:rFonts w:cs="Arial" w:ascii="Verdana" w:hAnsi="Verdana"/>
          <w:b w:val="false"/>
          <w:bCs w:val="false"/>
          <w:color w:val="auto"/>
        </w:rPr>
        <w:t>12.2.2 A convocação feita por e-mail dar-se-á de acordo com os dados contidos no SICAF, sendo responsabilidade do licitante manter seus dados cadastrais atualizados.</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4"/>
        </w:numPr>
        <w:spacing w:lineRule="auto" w:line="240" w:before="0" w:after="0"/>
        <w:ind w:hanging="0" w:left="0"/>
        <w:rPr>
          <w:rFonts w:ascii="Verdana" w:hAnsi="Verdana"/>
        </w:rPr>
      </w:pPr>
      <w:r>
        <w:rPr>
          <w:rFonts w:cs="Arial" w:ascii="Verdana" w:hAnsi="Verdana"/>
        </w:rPr>
        <w:t xml:space="preserve">DA ADJUDICAÇÃO E HOMOLOGAÇÃO </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rPr>
        <w:t xml:space="preserve">13.2 Após a fase recursal, constatada a regularidade dos atos praticados, a autoridade competente homologará o procedimento licitatório. </w:t>
      </w:r>
    </w:p>
    <w:p>
      <w:pPr>
        <w:pStyle w:val="Normal"/>
        <w:spacing w:lineRule="auto" w:line="240"/>
        <w:rPr>
          <w:rFonts w:ascii="Verdana" w:hAnsi="Verdana"/>
          <w:sz w:val="20"/>
          <w:szCs w:val="20"/>
        </w:rPr>
      </w:pPr>
      <w:r>
        <w:rPr>
          <w:rFonts w:ascii="Verdana" w:hAnsi="Verdana"/>
          <w:sz w:val="20"/>
          <w:szCs w:val="20"/>
        </w:rPr>
      </w:r>
    </w:p>
    <w:p>
      <w:pPr>
        <w:pStyle w:val="ListParagraph"/>
        <w:tabs>
          <w:tab w:val="clear" w:pos="720"/>
          <w:tab w:val="left" w:pos="850" w:leader="none"/>
        </w:tabs>
        <w:spacing w:lineRule="auto" w:line="240" w:before="0" w:after="0"/>
        <w:ind w:left="0"/>
        <w:contextualSpacing w:val="false"/>
        <w:jc w:val="both"/>
        <w:rPr>
          <w:rFonts w:ascii="Verdana" w:hAnsi="Verdana"/>
        </w:rPr>
      </w:pPr>
      <w:r>
        <w:rPr>
          <w:rFonts w:cs="Arial" w:ascii="Verdana" w:hAnsi="Verdana"/>
          <w:b/>
          <w:bCs/>
          <w:sz w:val="20"/>
          <w:szCs w:val="20"/>
        </w:rPr>
        <w:t>14 DA ENTREGA DOS EQUIPAMENTOS</w:t>
      </w:r>
    </w:p>
    <w:p>
      <w:pPr>
        <w:pStyle w:val="ListParagraph"/>
        <w:tabs>
          <w:tab w:val="clear" w:pos="720"/>
          <w:tab w:val="left" w:pos="850" w:leader="none"/>
        </w:tabs>
        <w:spacing w:lineRule="auto" w:line="240" w:before="0" w:after="0"/>
        <w:ind w:left="0"/>
        <w:contextualSpacing w:val="false"/>
        <w:jc w:val="both"/>
        <w:rPr>
          <w:rFonts w:ascii="Verdana" w:hAnsi="Verdana"/>
        </w:rPr>
      </w:pPr>
      <w:r>
        <w:rPr>
          <w:rFonts w:cs="Arial" w:ascii="Verdana" w:hAnsi="Verdana"/>
          <w:sz w:val="20"/>
          <w:szCs w:val="20"/>
        </w:rPr>
        <w:t>14.1</w:t>
      </w:r>
      <w:r>
        <w:rPr>
          <w:rFonts w:cs="Arial" w:ascii="Verdana" w:hAnsi="Verdana"/>
          <w:b/>
          <w:bCs/>
          <w:sz w:val="20"/>
          <w:szCs w:val="20"/>
        </w:rPr>
        <w:t xml:space="preserve"> A CONTRATADA deverá entregar os equipamentos no prazo máximo de 30 (trinta) dias após o recebimento da Autorização de Fornecimento emitida pelo Setor de Compras da Secretaria Municipal de Saúde.</w:t>
      </w:r>
    </w:p>
    <w:p>
      <w:pPr>
        <w:pStyle w:val="Normal"/>
        <w:spacing w:lineRule="auto" w:line="240"/>
        <w:jc w:val="both"/>
        <w:rPr>
          <w:rFonts w:ascii="Verdana" w:hAnsi="Verdana"/>
        </w:rPr>
      </w:pPr>
      <w:r>
        <w:rPr>
          <w:rFonts w:cs="Arial" w:ascii="Verdana" w:hAnsi="Verdana"/>
          <w:b/>
          <w:bCs/>
          <w:sz w:val="20"/>
          <w:szCs w:val="20"/>
        </w:rPr>
        <w:t>14.2 DO LOCAL DE ENTREGA:</w:t>
      </w:r>
    </w:p>
    <w:p>
      <w:pPr>
        <w:pStyle w:val="Normal"/>
        <w:spacing w:lineRule="auto" w:line="240"/>
        <w:jc w:val="both"/>
        <w:rPr>
          <w:rFonts w:ascii="Verdana" w:hAnsi="Verdana"/>
        </w:rPr>
      </w:pPr>
      <w:r>
        <w:rPr>
          <w:rFonts w:eastAsia="Times New Roman" w:cs="Arial" w:ascii="Verdana" w:hAnsi="Verdana"/>
          <w:sz w:val="20"/>
          <w:szCs w:val="20"/>
          <w:lang w:eastAsia="zh-CN"/>
        </w:rPr>
        <w:t>a) O local de entrega dos equipamentos será no Almoxarifado da Atenção Básica, localizado na Rua João XXIII nº 287, Centro, Município de São Gabriel da Palha/ES, CEP: 29.780.000 durante o horário de funcionamento estabelecido da seguinte forma: de segunda à quinta-feira de 7:00hs até as 16:00hs (não fechamos para almoço) e na sexta feira de 7:00hs da manhã até as 13:00 horas.</w:t>
      </w:r>
    </w:p>
    <w:p>
      <w:pPr>
        <w:pStyle w:val="Normal"/>
        <w:spacing w:lineRule="auto" w:line="240"/>
        <w:jc w:val="both"/>
        <w:rPr>
          <w:rFonts w:ascii="Verdana" w:hAnsi="Verdana" w:cs="Arial"/>
          <w:sz w:val="20"/>
          <w:szCs w:val="20"/>
        </w:rPr>
      </w:pPr>
      <w:r>
        <w:rPr>
          <w:rFonts w:cs="Arial" w:ascii="Verdana" w:hAnsi="Verdana"/>
          <w:sz w:val="20"/>
          <w:szCs w:val="20"/>
        </w:rPr>
      </w:r>
    </w:p>
    <w:p>
      <w:pPr>
        <w:pStyle w:val="Normal"/>
        <w:spacing w:lineRule="auto" w:line="240"/>
        <w:jc w:val="both"/>
        <w:rPr>
          <w:rFonts w:ascii="Verdana" w:hAnsi="Verdana"/>
        </w:rPr>
      </w:pPr>
      <w:r>
        <w:rPr>
          <w:rFonts w:cs="Arial" w:ascii="Verdana" w:hAnsi="Verdana"/>
          <w:b/>
          <w:bCs/>
          <w:sz w:val="20"/>
          <w:szCs w:val="20"/>
        </w:rPr>
        <w:t>14.3 MODELO DE EXECUÇÃO CONTRATUAL E CONDIÇÕES DE ENTREGA:</w:t>
      </w:r>
    </w:p>
    <w:p>
      <w:pPr>
        <w:pStyle w:val="Normal"/>
        <w:spacing w:lineRule="auto" w:line="240"/>
        <w:jc w:val="both"/>
        <w:rPr>
          <w:rFonts w:ascii="Verdana" w:hAnsi="Verdana"/>
        </w:rPr>
      </w:pPr>
      <w:r>
        <w:rPr>
          <w:rFonts w:cs="Arial" w:ascii="Verdana" w:hAnsi="Verdana"/>
          <w:sz w:val="20"/>
          <w:szCs w:val="20"/>
        </w:rPr>
        <w:t xml:space="preserve">a) </w:t>
      </w:r>
      <w:r>
        <w:rPr>
          <w:rFonts w:eastAsia="Times New Roman" w:cs="Arial" w:ascii="Verdana" w:hAnsi="Verdana"/>
          <w:b w:val="false"/>
          <w:bCs w:val="false"/>
          <w:color w:val="auto"/>
          <w:kern w:val="0"/>
          <w:sz w:val="20"/>
          <w:szCs w:val="20"/>
          <w:lang w:val="pt-BR" w:eastAsia="zh-CN" w:bidi="ar-SA"/>
        </w:rPr>
        <w:t>O prazo para entrega dos EPIs será de 30 (trinta) dias úteis, contados a partir do recebimento da respectiva Ordem de Fornecimento.</w:t>
      </w:r>
    </w:p>
    <w:p>
      <w:pPr>
        <w:pStyle w:val="Normal"/>
        <w:spacing w:lineRule="auto" w:line="240"/>
        <w:jc w:val="both"/>
        <w:rPr>
          <w:rFonts w:ascii="Verdana" w:hAnsi="Verdana" w:eastAsia="Times New Roman" w:cs="Arial"/>
          <w:b w:val="false"/>
          <w:bCs w:val="false"/>
          <w:color w:val="auto"/>
          <w:kern w:val="0"/>
          <w:sz w:val="20"/>
          <w:szCs w:val="20"/>
          <w:lang w:val="pt-BR" w:eastAsia="zh-CN" w:bidi="ar-SA"/>
        </w:rPr>
      </w:pPr>
      <w:r>
        <w:rPr>
          <w:rFonts w:eastAsia="Times New Roman" w:cs="Arial" w:ascii="Verdana" w:hAnsi="Verdana"/>
          <w:b w:val="false"/>
          <w:bCs w:val="false"/>
          <w:color w:val="auto"/>
          <w:kern w:val="0"/>
          <w:sz w:val="20"/>
          <w:szCs w:val="20"/>
          <w:lang w:val="pt-BR" w:eastAsia="zh-CN" w:bidi="ar-SA"/>
        </w:rPr>
        <w:t>b) Caso não seja possível a entrega na data estabelecida, a empresa deverá comunicar formalmente as razões com pelo menos 05 (cinco) dias úteis de antecedência, para que eventual pedido de prorrogação seja analisado, ressalvadas situações de caso fortuito ou força maior.</w:t>
      </w:r>
    </w:p>
    <w:p>
      <w:pPr>
        <w:pStyle w:val="Normal"/>
        <w:spacing w:lineRule="auto" w:line="240"/>
        <w:jc w:val="both"/>
        <w:rPr>
          <w:rFonts w:ascii="Verdana" w:hAnsi="Verdana"/>
          <w:sz w:val="20"/>
          <w:szCs w:val="20"/>
        </w:rPr>
      </w:pPr>
      <w:r>
        <w:rPr>
          <w:rFonts w:eastAsia="Times New Roman" w:cs="Arial" w:ascii="Verdana" w:hAnsi="Verdana"/>
          <w:b w:val="false"/>
          <w:bCs w:val="false"/>
          <w:color w:val="auto"/>
          <w:kern w:val="0"/>
          <w:sz w:val="20"/>
          <w:szCs w:val="20"/>
          <w:lang w:val="pt-BR" w:eastAsia="zh-CN" w:bidi="ar-SA"/>
        </w:rPr>
        <w:t xml:space="preserve">c) A entrega dos materiais deverá ser realizada no Almoxarifado da Atenção Básica, localizado na Rua: João XXIII nº 287 – Centro, Município de </w:t>
      </w:r>
      <w:r>
        <w:rPr>
          <w:rFonts w:cs="Arial" w:ascii="Verdana" w:hAnsi="Verdana"/>
          <w:b w:val="false"/>
          <w:bCs w:val="false"/>
          <w:sz w:val="20"/>
          <w:szCs w:val="20"/>
        </w:rPr>
        <w:t>São Gabriel da Palha – ES,</w:t>
      </w:r>
      <w:r>
        <w:rPr>
          <w:rFonts w:eastAsia="Times New Roman" w:cs="Arial" w:ascii="Verdana" w:hAnsi="Verdana"/>
          <w:b w:val="false"/>
          <w:bCs w:val="false"/>
          <w:color w:val="auto"/>
          <w:kern w:val="0"/>
          <w:sz w:val="20"/>
          <w:szCs w:val="20"/>
          <w:lang w:val="pt-BR" w:eastAsia="zh-CN" w:bidi="ar-SA"/>
        </w:rPr>
        <w:t>CEP 29.7800-000.</w:t>
      </w:r>
    </w:p>
    <w:p>
      <w:pPr>
        <w:pStyle w:val="Normal"/>
        <w:spacing w:lineRule="auto" w:line="240"/>
        <w:jc w:val="both"/>
        <w:rPr>
          <w:rFonts w:ascii="Verdana" w:hAnsi="Verdana" w:eastAsia="Times New Roman" w:cs="Arial"/>
          <w:b w:val="false"/>
          <w:bCs w:val="false"/>
          <w:color w:val="auto"/>
          <w:kern w:val="0"/>
          <w:sz w:val="20"/>
          <w:szCs w:val="20"/>
          <w:lang w:val="pt-BR" w:eastAsia="zh-CN" w:bidi="ar-SA"/>
        </w:rPr>
      </w:pPr>
      <w:r>
        <w:rPr>
          <w:rFonts w:eastAsia="Times New Roman" w:cs="Arial" w:ascii="Verdana" w:hAnsi="Verdana"/>
          <w:b w:val="false"/>
          <w:bCs w:val="false"/>
          <w:color w:val="auto"/>
          <w:kern w:val="0"/>
          <w:sz w:val="20"/>
          <w:szCs w:val="20"/>
          <w:lang w:val="pt-BR" w:eastAsia="zh-CN" w:bidi="ar-SA"/>
        </w:rPr>
        <w:t>d) Os materiais serão recebidos provisoriamente, de forma sumária, no prazo de 05 (cinco) dias úteis, pelo responsável pelo acompanhamento e fiscalização, no caso, servidor do Almoxarifado da Atenção Básica, para posterior verificação da conformidade com as especificações técnicas, quantitativas e qualitativas previstas neste Termo de Referência e na proposta.</w:t>
      </w:r>
    </w:p>
    <w:p>
      <w:pPr>
        <w:pStyle w:val="Normal"/>
        <w:spacing w:lineRule="auto" w:line="240"/>
        <w:jc w:val="both"/>
        <w:rPr>
          <w:rFonts w:ascii="Verdana" w:hAnsi="Verdana" w:eastAsia="Times New Roman" w:cs="Arial"/>
          <w:b w:val="false"/>
          <w:bCs w:val="false"/>
          <w:color w:val="auto"/>
          <w:kern w:val="0"/>
          <w:sz w:val="20"/>
          <w:szCs w:val="20"/>
          <w:lang w:val="pt-BR" w:eastAsia="zh-CN" w:bidi="ar-SA"/>
        </w:rPr>
      </w:pPr>
      <w:r>
        <w:rPr>
          <w:rFonts w:eastAsia="Times New Roman" w:cs="Arial" w:ascii="Verdana" w:hAnsi="Verdana"/>
          <w:b w:val="false"/>
          <w:bCs w:val="false"/>
          <w:color w:val="auto"/>
          <w:kern w:val="0"/>
          <w:sz w:val="20"/>
          <w:szCs w:val="20"/>
          <w:lang w:val="pt-BR" w:eastAsia="zh-CN" w:bidi="ar-SA"/>
        </w:rPr>
        <w:t>e) Os materiais poderão ser rejeitados, total ou parcialmente, caso não estejam em conformidade com as especificações técnicas e quantitativas estabelecidas, devendo ser substituídos no prazo máximo de 10 (dez) dias úteis, contados da notificação à contratada, às suas custas, sem prejuízo da aplicação das penalidades cabíveis.</w:t>
      </w:r>
    </w:p>
    <w:p>
      <w:pPr>
        <w:pStyle w:val="Normal"/>
        <w:spacing w:lineRule="auto" w:line="240"/>
        <w:jc w:val="both"/>
        <w:rPr>
          <w:rFonts w:ascii="Verdana" w:hAnsi="Verdana" w:eastAsia="Times New Roman" w:cs="Arial"/>
          <w:b w:val="false"/>
          <w:bCs w:val="false"/>
          <w:color w:val="auto"/>
          <w:kern w:val="0"/>
          <w:sz w:val="20"/>
          <w:szCs w:val="20"/>
          <w:lang w:val="pt-BR" w:eastAsia="zh-CN" w:bidi="ar-SA"/>
        </w:rPr>
      </w:pPr>
      <w:r>
        <w:rPr>
          <w:rFonts w:eastAsia="Times New Roman" w:cs="Arial" w:ascii="Verdana" w:hAnsi="Verdana"/>
          <w:b w:val="false"/>
          <w:bCs w:val="false"/>
          <w:color w:val="auto"/>
          <w:kern w:val="0"/>
          <w:sz w:val="20"/>
          <w:szCs w:val="20"/>
          <w:lang w:val="pt-BR" w:eastAsia="zh-CN" w:bidi="ar-SA"/>
        </w:rPr>
        <w:t>f) O recebimento definitivo ocorrerá no prazo de 10 (dez) dias úteis, contados a partir do recebimento provisório, após a verificação da qualidade e quantidade dos materiais e aceitação formal por meio de termo detalhado.</w:t>
      </w:r>
    </w:p>
    <w:p>
      <w:pPr>
        <w:pStyle w:val="Normal"/>
        <w:spacing w:lineRule="auto" w:line="240"/>
        <w:jc w:val="both"/>
        <w:rPr>
          <w:rFonts w:ascii="Verdana" w:hAnsi="Verdana" w:eastAsia="Times New Roman" w:cs="Arial"/>
          <w:b w:val="false"/>
          <w:bCs w:val="false"/>
          <w:color w:val="auto"/>
          <w:kern w:val="0"/>
          <w:sz w:val="20"/>
          <w:szCs w:val="20"/>
          <w:lang w:val="pt-BR" w:eastAsia="zh-CN" w:bidi="ar-SA"/>
        </w:rPr>
      </w:pPr>
      <w:r>
        <w:rPr>
          <w:rFonts w:eastAsia="Times New Roman" w:cs="Arial" w:ascii="Verdana" w:hAnsi="Verdana"/>
          <w:b w:val="false"/>
          <w:bCs w:val="false"/>
          <w:color w:val="auto"/>
          <w:kern w:val="0"/>
          <w:sz w:val="20"/>
          <w:szCs w:val="20"/>
          <w:lang w:val="pt-BR" w:eastAsia="zh-CN" w:bidi="ar-SA"/>
        </w:rPr>
        <w:t>g) Caso a verificação não seja concluída dentro do prazo previsto, considerar-se-á consumado o recebimento definitivo no último dia do prazo. 5.8. O recebimento provisório ou definitivo não exime a contratada da responsabilidade civil por eventuais defeitos ou vícios nos materiais fornecidos, bem como da responsabilidade ética e técnica pela perfeita execução do contrato.</w:t>
      </w:r>
    </w:p>
    <w:p>
      <w:pPr>
        <w:pStyle w:val="Normal"/>
        <w:spacing w:lineRule="auto" w:line="240"/>
        <w:jc w:val="both"/>
        <w:rPr>
          <w:rFonts w:ascii="Verdana" w:hAnsi="Verdana" w:eastAsia="Times New Roman" w:cs="Arial"/>
          <w:b w:val="false"/>
          <w:bCs w:val="false"/>
          <w:color w:val="auto"/>
          <w:kern w:val="0"/>
          <w:sz w:val="20"/>
          <w:szCs w:val="20"/>
          <w:lang w:val="pt-BR" w:eastAsia="zh-CN" w:bidi="ar-SA"/>
        </w:rPr>
      </w:pPr>
      <w:r>
        <w:rPr>
          <w:rFonts w:eastAsia="Times New Roman" w:cs="Arial" w:ascii="Verdana" w:hAnsi="Verdana"/>
          <w:b w:val="false"/>
          <w:bCs w:val="false"/>
          <w:color w:val="auto"/>
          <w:kern w:val="0"/>
          <w:sz w:val="20"/>
          <w:szCs w:val="20"/>
          <w:lang w:val="pt-BR" w:eastAsia="zh-CN" w:bidi="ar-SA"/>
        </w:rPr>
        <w:t>h) Para pagamento das entregas efetuadas, a contratada deverá emitir Nota Fiscal ou documento fiscal equivalente, contendo a especificação detalhada dos materiais entregues e os valores correspondentes.</w:t>
      </w:r>
    </w:p>
    <w:p>
      <w:pPr>
        <w:pStyle w:val="Normal"/>
        <w:spacing w:lineRule="auto" w:line="240"/>
        <w:jc w:val="both"/>
        <w:rPr>
          <w:rFonts w:ascii="Verdana" w:hAnsi="Verdana" w:cs="Arial"/>
          <w:sz w:val="20"/>
          <w:szCs w:val="20"/>
        </w:rPr>
      </w:pPr>
      <w:r>
        <w:rPr>
          <w:rFonts w:eastAsia="Times New Roman" w:cs="Arial" w:ascii="Verdana" w:hAnsi="Verdana"/>
          <w:b w:val="false"/>
          <w:bCs w:val="false"/>
          <w:iCs/>
          <w:color w:val="auto"/>
          <w:kern w:val="0"/>
          <w:sz w:val="20"/>
          <w:szCs w:val="20"/>
          <w:lang w:val="pt-BR" w:eastAsia="zh-CN" w:bidi="ar-SA"/>
        </w:rPr>
        <w:t>i) A Nota Fiscal deverá observar a legislação vigente, incluindo a retenção de tributos conforme legislação federal, especialmente as normas da Receita Federal aplicável.</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0" w:after="0"/>
        <w:rPr>
          <w:rFonts w:ascii="Verdana" w:hAnsi="Verdana"/>
        </w:rPr>
      </w:pPr>
      <w:r>
        <w:rPr>
          <w:rFonts w:cs="Arial" w:ascii="Verdana" w:hAnsi="Verdana"/>
        </w:rPr>
        <w:t>15. DO REAJUSTAMENTO EM SENTIDO GERAL</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0" w:after="0"/>
        <w:rPr>
          <w:rFonts w:ascii="Verdana" w:hAnsi="Verdana"/>
        </w:rPr>
      </w:pPr>
      <w:r>
        <w:rPr>
          <w:rFonts w:cs="Arial" w:ascii="Verdana" w:hAnsi="Verdana"/>
        </w:rPr>
        <w:t>16. DA ACEITAÇÃO DO OBJETO E DA FISCALIZAÇÃO</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lang w:eastAsia="en-US"/>
        </w:rPr>
        <w:t>16.1 Os critérios de recebimento e aceitação do objeto e de fiscalização estão previstos no Termo de Referência anexo a este edital.</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0" w:after="0"/>
        <w:rPr>
          <w:rFonts w:ascii="Verdana" w:hAnsi="Verdana"/>
        </w:rPr>
      </w:pPr>
      <w:r>
        <w:rPr>
          <w:rFonts w:cs="Arial" w:ascii="Verdana" w:hAnsi="Verdana"/>
          <w:lang w:eastAsia="en-US"/>
        </w:rPr>
        <w:t>17. DAS OBRIGAÇÕES DA CONTRATANTE E DA CONTRATADA</w:t>
      </w:r>
    </w:p>
    <w:p>
      <w:pPr>
        <w:pStyle w:val="ListParagraph"/>
        <w:spacing w:lineRule="auto" w:line="240" w:before="0" w:after="0"/>
        <w:ind w:left="0"/>
        <w:contextualSpacing w:val="false"/>
        <w:jc w:val="both"/>
        <w:rPr>
          <w:rFonts w:ascii="Verdana" w:hAnsi="Verdana"/>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anexo a este edital.</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Tahoma" w:ascii="Verdana" w:hAnsi="Verdana"/>
          <w:color w:val="auto"/>
        </w:rPr>
        <w:t>18</w:t>
      </w:r>
      <w:r>
        <w:rPr>
          <w:rFonts w:cs="Arial" w:ascii="Verdana" w:hAnsi="Verdana"/>
        </w:rPr>
        <w:t>. DO PAGAMENTO</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 xml:space="preserve">Recebida a Nota Fiscal ou documento de cobrança equivalente, correrá o prazo de </w:t>
      </w:r>
      <w:r>
        <w:rPr>
          <w:rFonts w:eastAsia="Times New Roman" w:cs="Times New Roman" w:ascii="Verdana" w:hAnsi="Verdana"/>
          <w:color w:val="000000"/>
          <w:sz w:val="20"/>
          <w:szCs w:val="20"/>
          <w:lang w:eastAsia="en-US"/>
        </w:rPr>
        <w:t>(30) trinta</w:t>
      </w:r>
      <w:r>
        <w:rPr>
          <w:rFonts w:cs="Arial" w:ascii="Verdana" w:hAnsi="Verdana"/>
          <w:color w:val="000000"/>
          <w:sz w:val="20"/>
          <w:szCs w:val="20"/>
          <w:lang w:eastAsia="en-US"/>
        </w:rPr>
        <w:t xml:space="preserve"> dias úteis para fins de liquidação, na forma desta seção, prorrogáveis por igual período.</w:t>
      </w:r>
    </w:p>
    <w:p>
      <w:pPr>
        <w:pStyle w:val="ListParagraph"/>
        <w:spacing w:lineRule="auto" w:line="240" w:before="57" w:after="57"/>
        <w:ind w:left="0"/>
        <w:contextualSpacing w:val="false"/>
        <w:jc w:val="both"/>
        <w:rPr/>
      </w:pPr>
      <w:r>
        <w:rPr>
          <w:rFonts w:ascii="Verdana" w:hAnsi="Verdana"/>
          <w:sz w:val="20"/>
          <w:szCs w:val="20"/>
        </w:rPr>
        <w:t>18</w:t>
      </w:r>
      <w:r>
        <w:rPr>
          <w:rFonts w:cs="Arial" w:ascii="Verdana" w:hAnsi="Verdana"/>
          <w:color w:val="000000"/>
          <w:sz w:val="20"/>
          <w:szCs w:val="20"/>
          <w:lang w:eastAsia="en-US"/>
        </w:rPr>
        <w:t xml:space="preserve">.2.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195"/>
          <w:sz w:val="20"/>
          <w:szCs w:val="20"/>
          <w:rFonts w:cs="Arial" w:ascii="Verdana" w:hAnsi="Verdana"/>
          <w:color w:val="000000"/>
          <w:lang w:eastAsia="en-US"/>
        </w:rPr>
        <w:instrText xml:space="preserve"> HYPERLINK "http://www.planalto.gov.br/ccivil_03/_ato2019-2022/2021/lei/L14133.htm" \l "art75"</w:instrText>
      </w:r>
      <w:r>
        <w:rPr>
          <w:rStyle w:val="ListLabel195"/>
          <w:sz w:val="20"/>
          <w:szCs w:val="20"/>
          <w:rFonts w:cs="Arial" w:ascii="Verdana" w:hAnsi="Verdana"/>
          <w:color w:val="000000"/>
          <w:lang w:eastAsia="en-US"/>
        </w:rPr>
        <w:fldChar w:fldCharType="separate"/>
      </w:r>
      <w:r>
        <w:rPr>
          <w:rStyle w:val="ListLabel195"/>
          <w:rFonts w:cs="Arial" w:ascii="Verdana" w:hAnsi="Verdana"/>
          <w:color w:val="000000"/>
          <w:sz w:val="20"/>
          <w:szCs w:val="20"/>
          <w:lang w:eastAsia="en-US"/>
        </w:rPr>
        <w:t xml:space="preserve">inciso II do art. 75 da Lei nº 14.133, de </w:t>
      </w:r>
      <w:r>
        <w:rPr>
          <w:rStyle w:val="ListLabel195"/>
          <w:sz w:val="20"/>
          <w:szCs w:val="20"/>
          <w:rFonts w:cs="Arial" w:ascii="Verdana" w:hAnsi="Verdana"/>
          <w:color w:val="000000"/>
          <w:lang w:eastAsia="en-US"/>
        </w:rPr>
        <w:fldChar w:fldCharType="end"/>
      </w:r>
      <w:r>
        <w:rPr>
          <w:rFonts w:cs="Arial" w:ascii="Verdana" w:hAnsi="Verdana"/>
          <w:color w:val="000000"/>
          <w:sz w:val="20"/>
          <w:szCs w:val="20"/>
          <w:lang w:eastAsia="en-US"/>
        </w:rPr>
        <w:t>2021.</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18.3. Para fins de liquidação, o setor competente deverá verificar se a nota fiscal ou instrumento de cobrança equivalente apresentado expressa os elementos necessários e esse</w:t>
      </w:r>
      <w:r>
        <w:rPr>
          <w:rFonts w:ascii="Verdana" w:hAnsi="Verdana"/>
          <w:sz w:val="20"/>
          <w:szCs w:val="20"/>
        </w:rPr>
        <w:t xml:space="preserve">nciais do documento, tais como: </w:t>
      </w:r>
    </w:p>
    <w:p>
      <w:pPr>
        <w:pStyle w:val="Normal"/>
        <w:tabs>
          <w:tab w:val="clear" w:pos="720"/>
          <w:tab w:val="left" w:pos="563" w:leader="none"/>
        </w:tabs>
        <w:spacing w:lineRule="auto" w:line="240"/>
        <w:ind w:left="432"/>
        <w:jc w:val="both"/>
        <w:rPr>
          <w:rFonts w:ascii="Verdana" w:hAnsi="Verdana"/>
        </w:rPr>
      </w:pPr>
      <w:r>
        <w:rPr>
          <w:rFonts w:ascii="Verdana" w:hAnsi="Verdana"/>
          <w:sz w:val="20"/>
          <w:szCs w:val="20"/>
        </w:rPr>
        <w:t>- O prazo de validade;</w:t>
      </w:r>
    </w:p>
    <w:p>
      <w:pPr>
        <w:pStyle w:val="Normal"/>
        <w:tabs>
          <w:tab w:val="clear" w:pos="720"/>
          <w:tab w:val="left" w:pos="563" w:leader="none"/>
        </w:tabs>
        <w:spacing w:lineRule="auto" w:line="240"/>
        <w:ind w:left="432"/>
        <w:jc w:val="both"/>
        <w:rPr>
          <w:rFonts w:ascii="Verdana" w:hAnsi="Verdana"/>
        </w:rPr>
      </w:pPr>
      <w:r>
        <w:rPr>
          <w:rFonts w:ascii="Verdana" w:hAnsi="Verdana"/>
          <w:sz w:val="20"/>
          <w:szCs w:val="20"/>
        </w:rPr>
        <w:t xml:space="preserve">- A data da emissão; </w:t>
      </w:r>
    </w:p>
    <w:p>
      <w:pPr>
        <w:pStyle w:val="Normal"/>
        <w:tabs>
          <w:tab w:val="clear" w:pos="720"/>
          <w:tab w:val="left" w:pos="563" w:leader="none"/>
        </w:tabs>
        <w:spacing w:lineRule="auto" w:line="240"/>
        <w:ind w:left="432"/>
        <w:jc w:val="both"/>
        <w:rPr>
          <w:rFonts w:ascii="Verdana" w:hAnsi="Verdana"/>
        </w:rPr>
      </w:pPr>
      <w:r>
        <w:rPr>
          <w:rFonts w:ascii="Verdana" w:hAnsi="Verdana"/>
          <w:sz w:val="20"/>
          <w:szCs w:val="20"/>
        </w:rPr>
        <w:t xml:space="preserve">- Os dados do contrato e do órgão contratante; </w:t>
      </w:r>
    </w:p>
    <w:p>
      <w:pPr>
        <w:pStyle w:val="Normal"/>
        <w:tabs>
          <w:tab w:val="clear" w:pos="720"/>
          <w:tab w:val="left" w:pos="563" w:leader="none"/>
        </w:tabs>
        <w:spacing w:lineRule="auto" w:line="240"/>
        <w:ind w:left="432"/>
        <w:jc w:val="both"/>
        <w:rPr>
          <w:rFonts w:ascii="Verdana" w:hAnsi="Verdana"/>
        </w:rPr>
      </w:pPr>
      <w:r>
        <w:rPr>
          <w:rFonts w:ascii="Verdana" w:hAnsi="Verdana"/>
          <w:sz w:val="20"/>
          <w:szCs w:val="20"/>
        </w:rPr>
        <w:t xml:space="preserve">- O período respectivo de execução do contrato; </w:t>
      </w:r>
    </w:p>
    <w:p>
      <w:pPr>
        <w:pStyle w:val="Normal"/>
        <w:tabs>
          <w:tab w:val="clear" w:pos="720"/>
          <w:tab w:val="left" w:pos="563" w:leader="none"/>
        </w:tabs>
        <w:spacing w:lineRule="auto" w:line="240"/>
        <w:ind w:left="432"/>
        <w:jc w:val="both"/>
        <w:rPr>
          <w:rFonts w:ascii="Verdana" w:hAnsi="Verdana"/>
        </w:rPr>
      </w:pPr>
      <w:r>
        <w:rPr>
          <w:rFonts w:ascii="Verdana" w:hAnsi="Verdana"/>
          <w:sz w:val="20"/>
          <w:szCs w:val="20"/>
        </w:rPr>
        <w:t xml:space="preserve">- O valor a pagar; e </w:t>
      </w:r>
    </w:p>
    <w:p>
      <w:pPr>
        <w:pStyle w:val="Normal"/>
        <w:tabs>
          <w:tab w:val="clear" w:pos="720"/>
          <w:tab w:val="left" w:pos="563" w:leader="none"/>
        </w:tabs>
        <w:spacing w:lineRule="auto" w:line="240"/>
        <w:ind w:left="432"/>
        <w:jc w:val="both"/>
        <w:rPr>
          <w:rFonts w:ascii="Verdana" w:hAnsi="Verdana"/>
        </w:rPr>
      </w:pPr>
      <w:r>
        <w:rPr>
          <w:rFonts w:ascii="Verdana" w:hAnsi="Verdana"/>
          <w:sz w:val="20"/>
          <w:szCs w:val="20"/>
        </w:rPr>
        <w:t>- Eventual destaque do valor de retenções tributárias cabíveis.</w:t>
      </w:r>
    </w:p>
    <w:p>
      <w:pPr>
        <w:pStyle w:val="ListParagraph"/>
        <w:spacing w:lineRule="auto" w:line="240" w:before="57" w:after="57"/>
        <w:ind w:left="0"/>
        <w:contextualSpacing w:val="false"/>
        <w:jc w:val="both"/>
        <w:rPr>
          <w:rFonts w:ascii="Verdana" w:hAnsi="Verdana"/>
        </w:rPr>
      </w:pPr>
      <w:r>
        <w:rPr>
          <w:rFonts w:ascii="Verdana" w:hAnsi="Verdana"/>
          <w:sz w:val="20"/>
          <w:szCs w:val="20"/>
        </w:rPr>
        <w:t>18</w:t>
      </w:r>
      <w:r>
        <w:rPr>
          <w:rFonts w:cs="Arial" w:ascii="Verdana" w:hAnsi="Verdana"/>
          <w:color w:val="000000"/>
          <w:sz w:val="20"/>
          <w:szCs w:val="20"/>
          <w:lang w:eastAsia="en-US"/>
        </w:rPr>
        <w:t>.4.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18.5. A nota fiscal ou instrumento de cobrança equivalente deverá ser obrigatoriamente acompanhado da comprovação da regularidade fiscal</w:t>
      </w:r>
      <w:r>
        <w:rPr>
          <w:rStyle w:val="InternetLink"/>
          <w:rFonts w:cs="Arial" w:ascii="Verdana" w:hAnsi="Verdana"/>
          <w:color w:val="000000"/>
          <w:sz w:val="20"/>
          <w:szCs w:val="20"/>
          <w:lang w:eastAsia="en-US"/>
        </w:rPr>
        <w:t>.</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18.6. O pagamento será efetuado no prazo de até 30 (trinta) dias úteis contados da finalização da liquidação da despesa.</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18.7. O pagamento será realizado por meio de ordem bancária, para crédito em banco, agência e conta corrente indicados pelo contratado.</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w:t>
      </w:r>
      <w:r>
        <w:rPr>
          <w:rFonts w:ascii="Verdana" w:hAnsi="Verdana"/>
          <w:sz w:val="20"/>
          <w:szCs w:val="20"/>
        </w:rPr>
        <w:t>8.</w:t>
      </w:r>
      <w:r>
        <w:rPr>
          <w:rFonts w:cs="Arial" w:ascii="Verdana" w:hAnsi="Verdana"/>
          <w:color w:val="000000"/>
          <w:sz w:val="20"/>
          <w:szCs w:val="20"/>
          <w:lang w:eastAsia="en-US"/>
        </w:rPr>
        <w:t>8. Será considerada data do pagamento o dia em que constar como emitida a ordem bancária para pagamento.</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18.9. Quando do pagamento, será efetuada a retenção tributária prevista na legislação aplicável.</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 xml:space="preserve">18.10. O contratado regularmente optante pelo Simples Nacional, nos termos da </w:t>
      </w:r>
      <w:hyperlink r:id="rId7">
        <w:r>
          <w:rPr>
            <w:rStyle w:val="ListLabel195"/>
            <w:rFonts w:cs="Arial" w:ascii="Verdana" w:hAnsi="Verdana"/>
            <w:color w:val="000000"/>
            <w:sz w:val="20"/>
            <w:szCs w:val="20"/>
            <w:lang w:eastAsia="en-US"/>
          </w:rPr>
          <w:t>Lei Complementar nº 123, de 2006</w:t>
        </w:r>
      </w:hyperlink>
      <w:r>
        <w:rPr>
          <w:rFonts w:cs="Arial" w:ascii="Verdana" w:hAnsi="Verdana"/>
          <w:color w:val="000000"/>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Arial" w:ascii="Verdana" w:hAnsi="Verdana"/>
        </w:rPr>
        <w:t>19. DAS SANÇÕES ADMINISTRATIVAS.</w:t>
      </w:r>
    </w:p>
    <w:p>
      <w:pPr>
        <w:pStyle w:val="ListParagraph"/>
        <w:spacing w:lineRule="auto" w:line="240" w:before="57" w:after="57"/>
        <w:ind w:left="0"/>
        <w:contextualSpacing w:val="false"/>
        <w:jc w:val="both"/>
        <w:rPr>
          <w:rFonts w:ascii="Verdana" w:hAnsi="Verdana"/>
        </w:rPr>
      </w:pPr>
      <w:r>
        <w:rPr>
          <w:rFonts w:cs="Arial" w:ascii="Verdana" w:hAnsi="Verdana"/>
          <w:sz w:val="20"/>
          <w:szCs w:val="20"/>
          <w:shd w:fill="FFFFFF" w:val="clear"/>
        </w:rPr>
        <w:t>19.1</w:t>
      </w:r>
      <w:r>
        <w:rPr>
          <w:rFonts w:cs="Arial" w:ascii="Verdana" w:hAnsi="Verdana"/>
          <w:b/>
          <w:bCs/>
          <w:sz w:val="20"/>
          <w:szCs w:val="20"/>
          <w:shd w:fill="FFFFFF" w:val="clear"/>
        </w:rPr>
        <w:t xml:space="preserve"> </w:t>
      </w:r>
      <w:r>
        <w:rPr>
          <w:rFonts w:cs="Arial" w:ascii="Verdana" w:hAnsi="Verdana"/>
          <w:sz w:val="20"/>
          <w:szCs w:val="20"/>
          <w:shd w:fill="FFFFFF" w:val="clear"/>
        </w:rPr>
        <w:t>Com</w:t>
      </w:r>
      <w:r>
        <w:rPr>
          <w:rFonts w:cs="Arial" w:ascii="Verdana" w:hAnsi="Verdana"/>
          <w:color w:val="000000"/>
          <w:sz w:val="20"/>
          <w:szCs w:val="20"/>
          <w:lang w:eastAsia="en-US"/>
        </w:rPr>
        <w:t xml:space="preserve">ete infração administrativa, nos termos da Lei, o licitante/adjudicatário que: </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19.1.1 D</w:t>
      </w:r>
      <w:bookmarkStart w:id="12" w:name="_Ref114668085"/>
      <w:r>
        <w:rPr>
          <w:rFonts w:cs="Arial" w:ascii="Verdana" w:hAnsi="Verdana"/>
          <w:color w:val="000000"/>
          <w:sz w:val="20"/>
          <w:szCs w:val="20"/>
          <w:lang w:eastAsia="en-US"/>
        </w:rPr>
        <w:t>eixar de entregar a documentação exigida para o certame ou não entregar qualquer documento que tenha sido solicitado pelo/a pregoeiro/a durante o certame;</w:t>
      </w:r>
      <w:bookmarkEnd w:id="12"/>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 xml:space="preserve">19.1.2 </w:t>
      </w:r>
      <w:bookmarkStart w:id="13" w:name="_Ref114668108"/>
      <w:r>
        <w:rPr>
          <w:rFonts w:cs="Arial" w:ascii="Verdana" w:hAnsi="Verdana"/>
          <w:color w:val="000000"/>
          <w:sz w:val="20"/>
          <w:szCs w:val="20"/>
          <w:lang w:eastAsia="en-US"/>
        </w:rPr>
        <w:t>Salvo em decorrência de fato superveniente devidamente justificado, não mantiver a proposta em especial quando:</w:t>
      </w:r>
      <w:bookmarkEnd w:id="13"/>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19.1.2.1 Não enviar a proposta adequada ao último lance ofertado ou após a negociação;</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19.1.2.2 Recusar-se a enviar o detalhamento da proposta quando exigível;</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 xml:space="preserve">19.1.2.3 Pedir para ser desclassificado quando encerrada a etapa competitiva; ou </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19.1.2.4 Deixar de apresentar amostra;</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19.1.2.5 Apresentar proposta ou amostra em desacordo com as especificações do edital;</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19.1.3 Não celebrar o contrato ou não entregar documentação exigida para a contratação quando convocado dentro do prazo de validade de sua proposta;</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19.1.3.1 Recusar-se sem justificativa, a assinar o contrato ou a ata de registro de preço, ou a aceitar ou retirar o instrumento equivalente no prazo estabelecido pela Administração;</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19.1.4 A</w:t>
      </w:r>
      <w:bookmarkStart w:id="14" w:name="_Ref114668249"/>
      <w:r>
        <w:rPr>
          <w:rFonts w:cs="Arial" w:ascii="Verdana" w:hAnsi="Verdana"/>
          <w:color w:val="000000"/>
          <w:sz w:val="20"/>
          <w:szCs w:val="20"/>
          <w:lang w:eastAsia="en-US"/>
        </w:rPr>
        <w:t>presentar declaração ou documentação falsa exigida para o certame ou prestar declaração falsa durante a licitação</w:t>
      </w:r>
      <w:bookmarkEnd w:id="14"/>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19.1.5 F</w:t>
      </w:r>
      <w:bookmarkStart w:id="15" w:name="_Ref114668245"/>
      <w:r>
        <w:rPr>
          <w:rFonts w:cs="Arial" w:ascii="Verdana" w:hAnsi="Verdana"/>
          <w:color w:val="000000"/>
          <w:sz w:val="20"/>
          <w:szCs w:val="20"/>
          <w:lang w:eastAsia="en-US"/>
        </w:rPr>
        <w:t>raudar a licitação</w:t>
      </w:r>
      <w:bookmarkEnd w:id="15"/>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19.1.6 C</w:t>
      </w:r>
      <w:bookmarkStart w:id="16" w:name="_Ref114668247"/>
      <w:r>
        <w:rPr>
          <w:rFonts w:cs="Arial" w:ascii="Verdana" w:hAnsi="Verdana"/>
          <w:color w:val="000000"/>
          <w:sz w:val="20"/>
          <w:szCs w:val="20"/>
          <w:lang w:eastAsia="en-US"/>
        </w:rPr>
        <w:t>omportar-se de modo inidôneo ou cometer fraude de qualquer natureza, em especial quando:</w:t>
      </w:r>
      <w:bookmarkEnd w:id="16"/>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19.1.6.1 Agir em conluio ou em desconformidade com a lei;</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19.1.6.2 Induzir deliberadamente a erro no julgamento;</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19.1.6.3 Apresentar amostra falsificada ou deteriorada;</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19.1.7 P</w:t>
      </w:r>
      <w:bookmarkStart w:id="17" w:name="_Ref114668251"/>
      <w:r>
        <w:rPr>
          <w:rFonts w:cs="Arial" w:ascii="Verdana" w:hAnsi="Verdana"/>
          <w:color w:val="000000"/>
          <w:sz w:val="20"/>
          <w:szCs w:val="20"/>
          <w:lang w:eastAsia="en-US"/>
        </w:rPr>
        <w:t>raticar atos ilícitos com vistas a frustrar os objetivos da licitação</w:t>
      </w:r>
      <w:bookmarkEnd w:id="17"/>
    </w:p>
    <w:p>
      <w:pPr>
        <w:pStyle w:val="ListParagraph"/>
        <w:spacing w:lineRule="auto" w:line="240" w:before="57" w:after="57"/>
        <w:ind w:left="0"/>
        <w:contextualSpacing w:val="false"/>
        <w:jc w:val="both"/>
        <w:rPr/>
      </w:pPr>
      <w:r>
        <w:rPr>
          <w:rFonts w:cs="Arial" w:ascii="Verdana" w:hAnsi="Verdana"/>
          <w:color w:val="000000"/>
          <w:sz w:val="20"/>
          <w:szCs w:val="20"/>
          <w:lang w:eastAsia="en-US"/>
        </w:rPr>
        <w:t>19.1.8 P</w:t>
      </w:r>
      <w:bookmarkStart w:id="18" w:name="_Ref114668252"/>
      <w:r>
        <w:rPr>
          <w:rFonts w:cs="Arial" w:ascii="Verdana" w:hAnsi="Verdana"/>
          <w:color w:val="000000"/>
          <w:sz w:val="20"/>
          <w:szCs w:val="20"/>
          <w:lang w:eastAsia="en-US"/>
        </w:rPr>
        <w:t xml:space="preserve">raticar ato lesivo previsto no </w:t>
      </w:r>
      <w:r>
        <w:fldChar w:fldCharType="begin"/>
      </w:r>
      <w:r>
        <w:rPr>
          <w:rStyle w:val="ListLabel195"/>
          <w:sz w:val="20"/>
          <w:szCs w:val="20"/>
          <w:rFonts w:cs="Arial" w:ascii="Verdana" w:hAnsi="Verdana"/>
          <w:color w:val="000000"/>
          <w:lang w:eastAsia="en-US"/>
        </w:rPr>
        <w:instrText xml:space="preserve"> HYPERLINK "https://www.planalto.gov.br/ccivil_03/_ato2011-2014/2013/lei/l12846.htm" \l "art5"</w:instrText>
      </w:r>
      <w:r>
        <w:rPr>
          <w:rStyle w:val="ListLabel195"/>
          <w:sz w:val="20"/>
          <w:szCs w:val="20"/>
          <w:rFonts w:cs="Arial" w:ascii="Verdana" w:hAnsi="Verdana"/>
          <w:color w:val="000000"/>
          <w:lang w:eastAsia="en-US"/>
        </w:rPr>
        <w:fldChar w:fldCharType="separate"/>
      </w:r>
      <w:r>
        <w:rPr>
          <w:rStyle w:val="ListLabel195"/>
          <w:rFonts w:cs="Arial" w:ascii="Verdana" w:hAnsi="Verdana"/>
          <w:color w:val="000000"/>
          <w:sz w:val="20"/>
          <w:szCs w:val="20"/>
          <w:lang w:eastAsia="en-US"/>
        </w:rPr>
        <w:t>art. 5º da Lei n.º 12.846, de 2013</w:t>
      </w:r>
      <w:r>
        <w:rPr>
          <w:rStyle w:val="ListLabel195"/>
          <w:sz w:val="20"/>
          <w:szCs w:val="20"/>
          <w:rFonts w:cs="Arial" w:ascii="Verdana" w:hAnsi="Verdana"/>
          <w:color w:val="000000"/>
          <w:lang w:eastAsia="en-US"/>
        </w:rPr>
        <w:fldChar w:fldCharType="end"/>
      </w:r>
      <w:r>
        <w:rPr>
          <w:rFonts w:cs="Arial" w:ascii="Verdana" w:hAnsi="Verdana"/>
          <w:color w:val="000000"/>
          <w:sz w:val="20"/>
          <w:szCs w:val="20"/>
          <w:lang w:eastAsia="en-US"/>
        </w:rPr>
        <w:t>.</w:t>
      </w:r>
      <w:bookmarkEnd w:id="18"/>
    </w:p>
    <w:p>
      <w:pPr>
        <w:pStyle w:val="ListParagraph"/>
        <w:spacing w:lineRule="auto" w:line="240" w:before="57" w:after="57"/>
        <w:ind w:left="0"/>
        <w:contextualSpacing w:val="false"/>
        <w:jc w:val="both"/>
        <w:rPr/>
      </w:pPr>
      <w:r>
        <w:rPr>
          <w:rFonts w:cs="Arial" w:ascii="Verdana" w:hAnsi="Verdana"/>
          <w:color w:val="000000"/>
          <w:sz w:val="20"/>
          <w:szCs w:val="20"/>
          <w:lang w:eastAsia="en-US"/>
        </w:rPr>
        <w:t xml:space="preserve">19.2 Com fulcro na </w:t>
      </w:r>
      <w:r>
        <w:rPr>
          <w:rStyle w:val="Hyperlink1"/>
          <w:rFonts w:cs="Arial" w:ascii="Verdana" w:hAnsi="Verdana"/>
          <w:color w:val="000000"/>
          <w:sz w:val="20"/>
          <w:szCs w:val="20"/>
          <w:lang w:eastAsia="en-US"/>
        </w:rPr>
        <w:t>Lei nº 14.133, de 2021</w:t>
      </w:r>
      <w:r>
        <w:rPr>
          <w:rFonts w:cs="Arial" w:ascii="Verdana" w:hAnsi="Verdana"/>
          <w:color w:val="000000"/>
          <w:sz w:val="20"/>
          <w:szCs w:val="20"/>
          <w:lang w:eastAsia="en-US"/>
        </w:rPr>
        <w:t>, a Administração poderá, garantida a prévia defesa, aplicar aos licitantes e/ou adjudicatários as seguintes sanções, sem prejuízo das responsabilidades civil e criminal:</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19.2.1 Advertência;</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19.2.2 Multa;</w:t>
      </w:r>
    </w:p>
    <w:p>
      <w:pPr>
        <w:pStyle w:val="Nivel2"/>
        <w:numPr>
          <w:ilvl w:val="0"/>
          <w:numId w:val="0"/>
        </w:numPr>
        <w:spacing w:lineRule="auto" w:line="240" w:before="57" w:after="57"/>
        <w:ind w:hanging="0" w:left="0"/>
        <w:rPr>
          <w:rFonts w:ascii="Verdana" w:hAnsi="Verdana"/>
        </w:rPr>
      </w:pPr>
      <w:r>
        <w:rPr>
          <w:rFonts w:ascii="Verdana" w:hAnsi="Verdana"/>
        </w:rPr>
        <w:t>19.2.3 Impedimento de licitar e contratar e</w:t>
      </w:r>
    </w:p>
    <w:p>
      <w:pPr>
        <w:pStyle w:val="Nivel2"/>
        <w:numPr>
          <w:ilvl w:val="0"/>
          <w:numId w:val="0"/>
        </w:numPr>
        <w:spacing w:lineRule="auto" w:line="240" w:before="57" w:after="57"/>
        <w:ind w:hanging="0" w:left="0"/>
        <w:rPr>
          <w:rFonts w:ascii="Verdana" w:hAnsi="Verdana"/>
        </w:r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rFonts w:ascii="Verdana" w:hAnsi="Verdana"/>
        </w:rPr>
      </w:pPr>
      <w:r>
        <w:rPr>
          <w:rFonts w:ascii="Verdana" w:hAnsi="Verdana"/>
        </w:rPr>
        <w:t>19.3 Na aplicação das sanções serão considerados:</w:t>
      </w:r>
    </w:p>
    <w:p>
      <w:pPr>
        <w:pStyle w:val="Nivel2"/>
        <w:numPr>
          <w:ilvl w:val="0"/>
          <w:numId w:val="0"/>
        </w:numPr>
        <w:spacing w:lineRule="auto" w:line="240" w:before="57" w:after="57"/>
        <w:ind w:hanging="0" w:left="0"/>
        <w:rPr>
          <w:rFonts w:ascii="Verdana" w:hAnsi="Verdana"/>
        </w:rPr>
      </w:pPr>
      <w:r>
        <w:rPr>
          <w:rFonts w:ascii="Verdana" w:hAnsi="Verdana"/>
        </w:rPr>
        <w:t>19.3.1 A natureza e a gravidade da infração cometida.</w:t>
      </w:r>
    </w:p>
    <w:p>
      <w:pPr>
        <w:pStyle w:val="Nivel2"/>
        <w:numPr>
          <w:ilvl w:val="0"/>
          <w:numId w:val="0"/>
        </w:numPr>
        <w:spacing w:lineRule="auto" w:line="240" w:before="57" w:after="57"/>
        <w:ind w:hanging="0" w:left="0"/>
        <w:rPr>
          <w:rFonts w:ascii="Verdana" w:hAnsi="Verdana"/>
        </w:rPr>
      </w:pPr>
      <w:r>
        <w:rPr>
          <w:rFonts w:ascii="Verdana" w:hAnsi="Verdana"/>
        </w:rPr>
        <w:t>19.3.2 As peculiaridades do caso concreto</w:t>
      </w:r>
    </w:p>
    <w:p>
      <w:pPr>
        <w:pStyle w:val="Nivel2"/>
        <w:numPr>
          <w:ilvl w:val="0"/>
          <w:numId w:val="0"/>
        </w:numPr>
        <w:spacing w:lineRule="auto" w:line="240" w:before="57" w:after="57"/>
        <w:ind w:hanging="0" w:left="0"/>
        <w:rPr>
          <w:rFonts w:ascii="Verdana" w:hAnsi="Verdana"/>
        </w:rPr>
      </w:pPr>
      <w:r>
        <w:rPr>
          <w:rFonts w:ascii="Verdana" w:hAnsi="Verdana"/>
        </w:rPr>
        <w:t>19.3.3 As circunstâncias agravantes ou atenuantes</w:t>
      </w:r>
    </w:p>
    <w:p>
      <w:pPr>
        <w:pStyle w:val="Nivel2"/>
        <w:numPr>
          <w:ilvl w:val="0"/>
          <w:numId w:val="0"/>
        </w:numPr>
        <w:spacing w:lineRule="auto" w:line="240" w:before="57" w:after="57"/>
        <w:ind w:hanging="0" w:left="0"/>
        <w:rPr>
          <w:rFonts w:ascii="Verdana" w:hAnsi="Verdana"/>
        </w:rPr>
      </w:pPr>
      <w:r>
        <w:rPr>
          <w:rFonts w:ascii="Verdana" w:hAnsi="Verdana"/>
        </w:rPr>
        <w:t>19.3.4 Os danos que dela provierem para a Administração Pública</w:t>
      </w:r>
    </w:p>
    <w:p>
      <w:pPr>
        <w:pStyle w:val="Nivel2"/>
        <w:numPr>
          <w:ilvl w:val="0"/>
          <w:numId w:val="0"/>
        </w:numPr>
        <w:spacing w:lineRule="auto" w:line="240" w:before="57" w:after="57"/>
        <w:ind w:hanging="0" w:left="0"/>
        <w:rPr>
          <w:rFonts w:ascii="Verdana" w:hAnsi="Verdana"/>
        </w:rPr>
      </w:pPr>
      <w:r>
        <w:rPr>
          <w:rFonts w:ascii="Verdana" w:hAnsi="Verdana"/>
        </w:rPr>
        <w:t>19.3.5 A implantação ou o aperfeiçoamento de programa de integridade, conforme normas e orientações dos órgãos de controle.</w:t>
      </w:r>
    </w:p>
    <w:p>
      <w:pPr>
        <w:pStyle w:val="Nivel2"/>
        <w:numPr>
          <w:ilvl w:val="0"/>
          <w:numId w:val="0"/>
        </w:numPr>
        <w:spacing w:lineRule="auto" w:line="240" w:before="57" w:after="57"/>
        <w:ind w:hanging="0" w:left="0"/>
        <w:rPr>
          <w:rFonts w:ascii="Verdana" w:hAnsi="Verdana"/>
        </w:rPr>
      </w:pPr>
      <w:r>
        <w:rPr>
          <w:rFonts w:ascii="Verdana" w:hAnsi="Verdana"/>
        </w:rPr>
        <w:t xml:space="preserve">19.4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pPr>
        <w:pStyle w:val="Nivel2"/>
        <w:numPr>
          <w:ilvl w:val="0"/>
          <w:numId w:val="0"/>
        </w:numPr>
        <w:spacing w:lineRule="auto" w:line="240" w:before="57" w:after="57"/>
        <w:ind w:hanging="0" w:left="0"/>
        <w:rPr>
          <w:rFonts w:ascii="Verdana" w:hAnsi="Verdana"/>
        </w:rPr>
      </w:pPr>
      <w:r>
        <w:rPr>
          <w:rFonts w:ascii="Verdana" w:hAnsi="Verdana"/>
        </w:rPr>
        <w:t xml:space="preserve">19.4.1 </w:t>
      </w:r>
      <w:bookmarkStart w:id="19"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9"/>
    </w:p>
    <w:p>
      <w:pPr>
        <w:pStyle w:val="Nivel2"/>
        <w:numPr>
          <w:ilvl w:val="0"/>
          <w:numId w:val="0"/>
        </w:numPr>
        <w:spacing w:lineRule="auto" w:line="240" w:before="57" w:after="57"/>
        <w:ind w:hanging="0" w:left="0"/>
        <w:rPr>
          <w:rFonts w:ascii="Verdana" w:hAnsi="Verdana"/>
        </w:rPr>
      </w:pPr>
      <w:r>
        <w:rPr>
          <w:rFonts w:ascii="Verdana" w:hAnsi="Verdana"/>
        </w:rPr>
        <w:t xml:space="preserve">19.4.2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pPr>
        <w:pStyle w:val="Nivel2"/>
        <w:numPr>
          <w:ilvl w:val="0"/>
          <w:numId w:val="0"/>
        </w:numPr>
        <w:spacing w:lineRule="auto" w:line="240" w:before="57" w:after="57"/>
        <w:ind w:hanging="0" w:left="0"/>
        <w:rPr>
          <w:rFonts w:ascii="Verdana" w:hAnsi="Verdana"/>
        </w:rPr>
      </w:pPr>
      <w:r>
        <w:rPr>
          <w:rFonts w:ascii="Verdana" w:hAnsi="Verdana"/>
        </w:rPr>
        <w:t>19.5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rFonts w:ascii="Verdana" w:hAnsi="Verdana"/>
        </w:rPr>
      </w:pPr>
      <w:r>
        <w:rPr>
          <w:rFonts w:ascii="Verdana" w:hAnsi="Verdana"/>
        </w:rPr>
        <w:t>19.6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rFonts w:ascii="Verdana" w:hAnsi="Verdana"/>
        </w:rPr>
      </w:pPr>
      <w:r>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r>
        <w:fldChar w:fldCharType="begin"/>
      </w:r>
      <w:r>
        <w:rPr>
          <w:rStyle w:val="ListLabel196"/>
          <w:rFonts w:ascii="Verdana" w:hAnsi="Verdana"/>
          <w:color w:val="000000"/>
        </w:rPr>
        <w:instrText xml:space="preserve"> HYPERLINK "http://www.planalto.gov.br/ccivil_03/_ato2019-2022/2021/lei/L14133.htm" \l "art156%C2%A75"</w:instrText>
      </w:r>
      <w:r>
        <w:rPr>
          <w:rStyle w:val="ListLabel196"/>
          <w:rFonts w:ascii="Verdana" w:hAnsi="Verdana"/>
          <w:color w:val="000000"/>
        </w:rPr>
        <w:fldChar w:fldCharType="separate"/>
      </w:r>
      <w:r>
        <w:rPr>
          <w:rStyle w:val="ListLabel196"/>
          <w:rFonts w:ascii="Verdana" w:hAnsi="Verdana"/>
          <w:color w:val="000000"/>
        </w:rPr>
        <w:t>art. 156, §5º, da Lei n.º 14.133/2021</w:t>
      </w:r>
      <w:r>
        <w:rPr>
          <w:rStyle w:val="ListLabel196"/>
          <w:rFonts w:ascii="Verdana" w:hAnsi="Verdana"/>
          <w:color w:val="000000"/>
        </w:rPr>
        <w:fldChar w:fldCharType="end"/>
      </w:r>
      <w:r>
        <w:rPr>
          <w:rFonts w:ascii="Verdana" w:hAnsi="Verdana"/>
        </w:rPr>
        <w:t>.</w:t>
      </w:r>
    </w:p>
    <w:p>
      <w:pPr>
        <w:pStyle w:val="Nivel2"/>
        <w:numPr>
          <w:ilvl w:val="0"/>
          <w:numId w:val="0"/>
        </w:numPr>
        <w:spacing w:lineRule="auto" w:line="240" w:before="57" w:after="57"/>
        <w:ind w:hanging="0" w:left="0"/>
        <w:rPr/>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196"/>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before="57" w:after="57"/>
        <w:ind w:hanging="0" w:left="0"/>
        <w:rPr>
          <w:rFonts w:ascii="Verdana" w:hAnsi="Verdana"/>
        </w:r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rFonts w:ascii="Verdana" w:hAnsi="Verdana"/>
        </w:rPr>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rFonts w:ascii="Verdana" w:hAnsi="Verdana"/>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rFonts w:ascii="Verdana" w:hAnsi="Verdana"/>
        </w:rPr>
      </w:pPr>
      <w:r>
        <w:rPr>
          <w:rFonts w:ascii="Verdana" w:hAnsi="Verdana"/>
        </w:rPr>
        <w:t>19.12 O recurso e o pedido de reconsideração terão efeito suspensivo do ato ou da decisão recorrida até que sobrevenha decisão final da autoridade competente.</w:t>
      </w:r>
    </w:p>
    <w:p>
      <w:pPr>
        <w:pStyle w:val="Nivel2"/>
        <w:numPr>
          <w:ilvl w:val="0"/>
          <w:numId w:val="0"/>
        </w:numPr>
        <w:spacing w:lineRule="auto" w:line="240" w:before="57" w:after="57"/>
        <w:ind w:hanging="0" w:left="0"/>
        <w:rPr>
          <w:rFonts w:ascii="Verdana" w:hAnsi="Verdana"/>
        </w:rPr>
      </w:pPr>
      <w:r>
        <w:rPr>
          <w:rFonts w:cs="Arial" w:ascii="Verdana" w:hAnsi="Verdana"/>
          <w:shd w:fill="FFFFFF" w:val="clear"/>
        </w:rPr>
        <w:t>19.13 A aplicação das sanções previstas neste edital não exclui, em hipótese alguma, a obrigação de reparação integral dos danos causados.</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Arial" w:ascii="Verdana" w:hAnsi="Verdana"/>
        </w:rPr>
        <w:t>20. DA IMPUGNAÇÃO AO EDITAL E DO PEDIDO DE ESCLARECIMENTO</w:t>
      </w:r>
    </w:p>
    <w:p>
      <w:pPr>
        <w:pStyle w:val="ListParagraph"/>
        <w:spacing w:lineRule="auto" w:line="240" w:before="57" w:after="57"/>
        <w:ind w:left="0"/>
        <w:contextualSpacing w:val="false"/>
        <w:jc w:val="both"/>
        <w:rPr>
          <w:rFonts w:ascii="Verdana" w:hAnsi="Verdana"/>
        </w:rPr>
      </w:pPr>
      <w:r>
        <w:rPr>
          <w:rFonts w:cs="Arial" w:ascii="Verdana" w:hAnsi="Verdana"/>
          <w:sz w:val="20"/>
          <w:szCs w:val="20"/>
        </w:rPr>
        <w:t xml:space="preserve">20.1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left="0"/>
        <w:contextualSpacing w:val="false"/>
        <w:jc w:val="both"/>
        <w:rPr/>
      </w:pPr>
      <w:r>
        <w:rPr>
          <w:rFonts w:cs="Arial" w:ascii="Verdana" w:hAnsi="Verdana"/>
          <w:color w:val="000000"/>
          <w:sz w:val="20"/>
          <w:szCs w:val="20"/>
        </w:rPr>
        <w:t xml:space="preserve">20.2 A impugnação poderá ser realizada por forma eletrônica, pelo e-mail </w:t>
      </w:r>
      <w:hyperlink r:id="rId9">
        <w:r>
          <w:rPr>
            <w:rStyle w:val="ListLabel1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20.3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20.4 Acolhida a impugnação, será definida e publicada nova data para a realização do certame.</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20.7 As impugnações e pedidos de esclarecimentos não suspendem os prazos previstos no certame.</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20.8 A concessão de efeito suspensivo à impugnação é medida excepcional e deverá ser motivada pelo pregoeiro, nos autos do processo de licitação.</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20.9 As respostas aos pedidos de esclarecimentos serão divulgadas pelo sistema e vincularão os participantes e a administração.</w:t>
      </w:r>
    </w:p>
    <w:p>
      <w:pPr>
        <w:pStyle w:val="ListParagraph"/>
        <w:spacing w:lineRule="auto" w:line="240"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spacing w:lineRule="auto" w:line="240" w:before="57" w:after="57"/>
        <w:rPr>
          <w:rFonts w:ascii="Verdana" w:hAnsi="Verdana"/>
        </w:rPr>
      </w:pPr>
      <w:r>
        <w:rPr>
          <w:rFonts w:cs="Arial" w:ascii="Verdana" w:hAnsi="Verdana"/>
        </w:rPr>
        <w:t>21. DAS DISPOSIÇÕES GERAIS</w:t>
      </w:r>
    </w:p>
    <w:p>
      <w:pPr>
        <w:pStyle w:val="Normal"/>
        <w:spacing w:lineRule="auto" w:line="240" w:before="57" w:after="57"/>
        <w:jc w:val="both"/>
        <w:rPr>
          <w:rFonts w:ascii="Verdana" w:hAnsi="Verdana"/>
        </w:rPr>
      </w:pPr>
      <w:r>
        <w:rPr>
          <w:rFonts w:cs="Arial" w:ascii="Verdana" w:hAnsi="Verdana"/>
          <w:color w:val="000000"/>
          <w:sz w:val="20"/>
          <w:szCs w:val="20"/>
        </w:rPr>
        <w:t>21.1 Da sessão pública do Pregão divulgar-se-á Ata no sistema eletrônico.</w:t>
      </w:r>
    </w:p>
    <w:p>
      <w:pPr>
        <w:pStyle w:val="Normal"/>
        <w:spacing w:lineRule="auto" w:line="240" w:before="57" w:after="57"/>
        <w:jc w:val="both"/>
        <w:rPr>
          <w:rFonts w:ascii="Verdana" w:hAnsi="Verdana"/>
        </w:rPr>
      </w:pPr>
      <w:r>
        <w:rPr>
          <w:rFonts w:cs="Arial" w:ascii="Verdana" w:hAnsi="Verdana"/>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jc w:val="both"/>
        <w:rPr>
          <w:rFonts w:ascii="Verdana" w:hAnsi="Verdana"/>
        </w:rPr>
      </w:pPr>
      <w:r>
        <w:rPr>
          <w:rFonts w:cs="Arial" w:ascii="Verdana" w:hAnsi="Verdana"/>
          <w:color w:val="000000"/>
          <w:sz w:val="20"/>
          <w:szCs w:val="20"/>
        </w:rPr>
        <w:t>21.3 Todas as referências de tempo no Edital, no aviso e durante a sessão pública observarão o horário de Brasília – DF.</w:t>
      </w:r>
    </w:p>
    <w:p>
      <w:pPr>
        <w:pStyle w:val="Normal"/>
        <w:spacing w:lineRule="auto" w:line="240" w:before="57" w:after="57"/>
        <w:jc w:val="both"/>
        <w:rPr>
          <w:rFonts w:ascii="Verdana" w:hAnsi="Verdana"/>
        </w:rPr>
      </w:pPr>
      <w:r>
        <w:rPr>
          <w:rFonts w:cs="Arial" w:ascii="Verdana" w:hAnsi="Verdana"/>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jc w:val="both"/>
        <w:rPr>
          <w:rFonts w:ascii="Verdana" w:hAnsi="Verdana"/>
        </w:rPr>
      </w:pPr>
      <w:r>
        <w:rPr>
          <w:rFonts w:cs="Arial" w:ascii="Verdana" w:hAnsi="Verdana"/>
          <w:color w:val="000000"/>
          <w:sz w:val="20"/>
          <w:szCs w:val="20"/>
        </w:rPr>
        <w:t>21.5 A homologação do resultado desta licitação não implicará direito à contratação.</w:t>
      </w:r>
    </w:p>
    <w:p>
      <w:pPr>
        <w:pStyle w:val="Normal"/>
        <w:spacing w:lineRule="auto" w:line="240" w:before="57" w:after="57"/>
        <w:jc w:val="both"/>
        <w:rPr>
          <w:rFonts w:ascii="Verdana" w:hAnsi="Verdana"/>
        </w:rPr>
      </w:pPr>
      <w:r>
        <w:rPr>
          <w:rFonts w:cs="Arial" w:ascii="Verdana" w:hAnsi="Verdana"/>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jc w:val="both"/>
        <w:rPr>
          <w:rFonts w:ascii="Verdana" w:hAnsi="Verdana"/>
        </w:rPr>
      </w:pPr>
      <w:r>
        <w:rPr>
          <w:rFonts w:cs="Arial" w:ascii="Verdana" w:hAnsi="Verdana"/>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jc w:val="both"/>
        <w:rPr>
          <w:rFonts w:ascii="Verdana" w:hAnsi="Verdana"/>
        </w:rPr>
      </w:pPr>
      <w:r>
        <w:rPr>
          <w:rFonts w:cs="Arial" w:ascii="Verdana" w:hAnsi="Verdana"/>
          <w:color w:val="000000"/>
          <w:sz w:val="20"/>
          <w:szCs w:val="20"/>
        </w:rPr>
        <w:t>21.8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jc w:val="both"/>
        <w:rPr>
          <w:rFonts w:ascii="Verdana" w:hAnsi="Verdana"/>
        </w:rPr>
      </w:pPr>
      <w:r>
        <w:rPr>
          <w:rFonts w:cs="Arial" w:ascii="Verdana" w:hAnsi="Verdana"/>
          <w:color w:val="000000"/>
          <w:sz w:val="20"/>
          <w:szCs w:val="20"/>
        </w:rPr>
        <w:t>21.9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jc w:val="both"/>
        <w:rPr>
          <w:rFonts w:ascii="Verdana" w:hAnsi="Verdana"/>
        </w:rPr>
      </w:pPr>
      <w:r>
        <w:rPr>
          <w:rFonts w:cs="Arial" w:ascii="Verdana" w:hAnsi="Verdana"/>
          <w:color w:val="000000"/>
          <w:sz w:val="20"/>
          <w:szCs w:val="20"/>
        </w:rPr>
        <w:t>21.10 Em caso de divergência entre disposições deste Edital e de seus anexos ou demais peças que compõem o processo, prevalecerá as deste Edital.</w:t>
      </w:r>
    </w:p>
    <w:p>
      <w:pPr>
        <w:pStyle w:val="Normal"/>
        <w:spacing w:lineRule="auto" w:line="240" w:before="57" w:after="57"/>
        <w:jc w:val="both"/>
        <w:rPr/>
      </w:pPr>
      <w:r>
        <w:rPr>
          <w:rFonts w:cs="Arial" w:ascii="Verdana" w:hAnsi="Verdana"/>
          <w:color w:val="000000"/>
          <w:sz w:val="20"/>
          <w:szCs w:val="20"/>
        </w:rPr>
        <w:t xml:space="preserve">21.11 O Edital está disponibilizado, na íntegra, no endereço eletrônico </w:t>
      </w:r>
      <w:r>
        <w:rPr>
          <w:rStyle w:val="InternetLink"/>
          <w:rFonts w:cs="Arial" w:ascii="Verdana" w:hAnsi="Verdana"/>
          <w:color w:val="000000"/>
          <w:sz w:val="20"/>
          <w:szCs w:val="20"/>
          <w:u w:val="none"/>
        </w:rPr>
        <w:t>Portal de Compras P</w:t>
      </w:r>
      <w:r>
        <w:rPr>
          <w:rFonts w:ascii="Verdana" w:hAnsi="Verdana"/>
          <w:sz w:val="20"/>
          <w:szCs w:val="20"/>
        </w:rPr>
        <w:t xml:space="preserve">úblicas – </w:t>
      </w:r>
      <w:r>
        <w:rPr>
          <w:rFonts w:ascii="Verdana" w:hAnsi="Verdana"/>
          <w:b/>
          <w:color w:val="0462C1"/>
          <w:sz w:val="20"/>
          <w:szCs w:val="20"/>
        </w:rPr>
        <w:t>www.portaldecompraspublicas.com.br</w:t>
      </w:r>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193"/>
            <w:rFonts w:ascii="Verdana" w:hAnsi="Verdana"/>
            <w:color w:val="000080"/>
            <w:sz w:val="20"/>
            <w:szCs w:val="20"/>
            <w:u w:val="single"/>
          </w:rPr>
          <w:t>licitacao@</w:t>
        </w:r>
      </w:hyperlink>
      <w:hyperlink r:id="rId11">
        <w:r>
          <w:rPr>
            <w:rStyle w:val="ListLabel193"/>
            <w:rFonts w:ascii="Verdana" w:hAnsi="Verdana"/>
            <w:color w:val="000080"/>
            <w:sz w:val="20"/>
            <w:szCs w:val="20"/>
            <w:u w:val="single"/>
          </w:rPr>
          <w:t>saogabriel</w:t>
        </w:r>
      </w:hyperlink>
      <w:hyperlink r:id="rId12">
        <w:r>
          <w:rPr>
            <w:rStyle w:val="ListLabel1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lineRule="auto" w:line="240" w:before="57" w:after="57"/>
        <w:jc w:val="both"/>
        <w:rPr>
          <w:rFonts w:ascii="Verdana" w:hAnsi="Verdana"/>
        </w:rPr>
      </w:pPr>
      <w:r>
        <w:rPr>
          <w:rFonts w:cs="Arial" w:ascii="Verdana" w:hAnsi="Verdana"/>
          <w:color w:val="000000"/>
          <w:sz w:val="20"/>
          <w:szCs w:val="20"/>
        </w:rPr>
        <w:t>21.12 Integram este Edital, para todos os fins e efeitos, os seguintes anexos.</w:t>
      </w:r>
    </w:p>
    <w:p>
      <w:pPr>
        <w:pStyle w:val="Normal"/>
        <w:spacing w:lineRule="auto" w:line="240" w:before="57" w:after="57"/>
        <w:jc w:val="both"/>
        <w:rPr>
          <w:rFonts w:ascii="Verdana" w:hAnsi="Verdana"/>
        </w:rPr>
      </w:pPr>
      <w:r>
        <w:rPr>
          <w:rFonts w:cs="Arial" w:ascii="Verdana" w:hAnsi="Verdana"/>
          <w:color w:val="000000"/>
          <w:sz w:val="20"/>
          <w:szCs w:val="20"/>
        </w:rPr>
        <w:t>21.12.1 ANEXO I – Termo de Referência;</w:t>
      </w:r>
    </w:p>
    <w:p>
      <w:pPr>
        <w:pStyle w:val="Normal"/>
        <w:spacing w:lineRule="auto" w:line="240" w:before="57" w:after="57"/>
        <w:jc w:val="both"/>
        <w:rPr>
          <w:rFonts w:ascii="Verdana" w:hAnsi="Verdana"/>
        </w:rPr>
      </w:pPr>
      <w:r>
        <w:rPr>
          <w:rFonts w:cs="Arial" w:ascii="Verdana" w:hAnsi="Verdana"/>
          <w:color w:val="000000"/>
          <w:sz w:val="20"/>
          <w:szCs w:val="20"/>
        </w:rPr>
        <w:t>21.12.1.1 ANEXO I-1 – Estudo Técnico Preliminar;</w:t>
      </w:r>
    </w:p>
    <w:p>
      <w:pPr>
        <w:pStyle w:val="Normal"/>
        <w:tabs>
          <w:tab w:val="clear" w:pos="720"/>
          <w:tab w:val="left" w:pos="800" w:leader="none"/>
        </w:tabs>
        <w:snapToGrid w:val="false"/>
        <w:spacing w:lineRule="auto" w:line="240" w:before="57" w:after="57"/>
        <w:jc w:val="both"/>
        <w:rPr>
          <w:rFonts w:ascii="Verdana" w:hAnsi="Verdana"/>
        </w:rPr>
      </w:pPr>
      <w:r>
        <w:rPr>
          <w:rFonts w:cs="Arial" w:ascii="Verdana" w:hAnsi="Verdana"/>
          <w:color w:val="000000"/>
          <w:sz w:val="20"/>
          <w:szCs w:val="20"/>
        </w:rPr>
        <w:t>21.12.2 ANEXO II – Modelo Orientativo de Proposta;</w:t>
      </w:r>
    </w:p>
    <w:p>
      <w:pPr>
        <w:pStyle w:val="Normal"/>
        <w:tabs>
          <w:tab w:val="clear" w:pos="720"/>
          <w:tab w:val="left" w:pos="800" w:leader="none"/>
        </w:tabs>
        <w:snapToGrid w:val="false"/>
        <w:spacing w:lineRule="auto" w:line="240"/>
        <w:jc w:val="both"/>
        <w:rPr>
          <w:rFonts w:ascii="Verdana" w:hAnsi="Verdana"/>
          <w:sz w:val="20"/>
          <w:szCs w:val="20"/>
        </w:rPr>
      </w:pPr>
      <w:r>
        <w:rPr>
          <w:rFonts w:ascii="Verdana" w:hAnsi="Verdana"/>
          <w:sz w:val="20"/>
          <w:szCs w:val="20"/>
        </w:rPr>
      </w:r>
    </w:p>
    <w:p>
      <w:pPr>
        <w:pStyle w:val="Normal"/>
        <w:tabs>
          <w:tab w:val="clear" w:pos="720"/>
          <w:tab w:val="left" w:pos="800" w:leader="none"/>
        </w:tabs>
        <w:snapToGrid w:val="false"/>
        <w:spacing w:lineRule="auto" w:line="240"/>
        <w:jc w:val="both"/>
        <w:rPr>
          <w:rFonts w:ascii="Verdana" w:hAnsi="Verdana"/>
          <w:sz w:val="20"/>
          <w:szCs w:val="20"/>
        </w:rPr>
      </w:pPr>
      <w:r>
        <w:rPr>
          <w:rFonts w:ascii="Verdana" w:hAnsi="Verdana"/>
          <w:sz w:val="20"/>
          <w:szCs w:val="20"/>
        </w:rPr>
      </w:r>
    </w:p>
    <w:p>
      <w:pPr>
        <w:pStyle w:val="Normal"/>
        <w:keepNext w:val="true"/>
        <w:keepLines/>
        <w:numPr>
          <w:ilvl w:val="0"/>
          <w:numId w:val="0"/>
        </w:numPr>
        <w:tabs>
          <w:tab w:val="clear" w:pos="720"/>
          <w:tab w:val="left" w:pos="567" w:leader="none"/>
        </w:tabs>
        <w:spacing w:lineRule="auto" w:line="240"/>
        <w:ind w:hanging="0" w:left="360"/>
        <w:jc w:val="center"/>
        <w:outlineLvl w:val="0"/>
        <w:rPr>
          <w:rFonts w:ascii="Verdana" w:hAnsi="Verdana"/>
        </w:rPr>
      </w:pPr>
      <w:r>
        <w:rPr>
          <w:rFonts w:cs="Arial" w:ascii="Verdana" w:hAnsi="Verdana"/>
          <w:color w:val="000000"/>
          <w:sz w:val="20"/>
          <w:szCs w:val="20"/>
        </w:rPr>
        <w:t>São Gabriel da Palha/ES, 16 de abril de 2026.</w:t>
      </w:r>
    </w:p>
    <w:p>
      <w:pPr>
        <w:pStyle w:val="Normal"/>
        <w:numPr>
          <w:ilvl w:val="0"/>
          <w:numId w:val="0"/>
        </w:numPr>
        <w:tabs>
          <w:tab w:val="clear" w:pos="720"/>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 w:val="left" w:pos="7005" w:leader="none"/>
        </w:tabs>
        <w:spacing w:lineRule="auto" w:line="240"/>
        <w:ind w:hanging="0" w:left="360"/>
        <w:outlineLvl w:val="0"/>
        <w:rPr>
          <w:rFonts w:ascii="Verdana" w:hAnsi="Verdana"/>
        </w:rPr>
      </w:pPr>
      <w:r>
        <w:rPr>
          <w:rFonts w:ascii="Verdana" w:hAnsi="Verdana"/>
          <w:sz w:val="20"/>
          <w:szCs w:val="20"/>
        </w:rPr>
        <w:tab/>
        <w:tab/>
      </w:r>
    </w:p>
    <w:p>
      <w:pPr>
        <w:pStyle w:val="Normal"/>
        <w:numPr>
          <w:ilvl w:val="0"/>
          <w:numId w:val="0"/>
        </w:numPr>
        <w:tabs>
          <w:tab w:val="clear" w:pos="720"/>
          <w:tab w:val="left" w:pos="567" w:leader="none"/>
          <w:tab w:val="left" w:pos="7005" w:leader="none"/>
        </w:tabs>
        <w:spacing w:lineRule="auto" w:line="240"/>
        <w:ind w:hanging="0" w:left="360"/>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tabs>
          <w:tab w:val="clear" w:pos="720"/>
          <w:tab w:val="left" w:pos="1440" w:leader="none"/>
        </w:tabs>
        <w:snapToGrid w:val="false"/>
        <w:spacing w:lineRule="auto" w:line="240"/>
        <w:jc w:val="center"/>
        <w:rPr>
          <w:rFonts w:ascii="Verdana" w:hAnsi="Verdana"/>
        </w:rPr>
      </w:pPr>
      <w:r>
        <w:rPr>
          <w:rFonts w:cs="Calibri" w:ascii="Verdana" w:hAnsi="Verdana"/>
          <w:b/>
          <w:bCs/>
          <w:color w:val="000000"/>
          <w:sz w:val="20"/>
          <w:szCs w:val="20"/>
        </w:rPr>
        <w:t>MARCELLA FERREIRA ROSSONI ROCHA</w:t>
      </w:r>
    </w:p>
    <w:p>
      <w:pPr>
        <w:pStyle w:val="Normal"/>
        <w:keepNext w:val="true"/>
        <w:keepLines/>
        <w:numPr>
          <w:ilvl w:val="0"/>
          <w:numId w:val="0"/>
        </w:numPr>
        <w:tabs>
          <w:tab w:val="clear" w:pos="720"/>
          <w:tab w:val="left" w:pos="567" w:leader="none"/>
        </w:tabs>
        <w:spacing w:lineRule="auto" w:line="240"/>
        <w:ind w:hanging="0" w:left="360"/>
        <w:jc w:val="center"/>
        <w:outlineLvl w:val="0"/>
        <w:rPr>
          <w:rFonts w:ascii="Verdana" w:hAnsi="Verdana"/>
        </w:rPr>
      </w:pPr>
      <w:r>
        <w:rPr>
          <w:rFonts w:eastAsia="" w:cs="Arial" w:ascii="Verdana" w:hAnsi="Verdana" w:eastAsiaTheme="majorEastAsia"/>
          <w:b/>
          <w:bCs/>
          <w:color w:val="000000"/>
          <w:sz w:val="20"/>
          <w:szCs w:val="20"/>
        </w:rPr>
        <w:t>Secretária Municipal de Saúde</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386" w:bottom="107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bering>
</file>

<file path=word/settings.xml><?xml version="1.0" encoding="utf-8"?>
<w:settings xmlns:w="http://schemas.openxmlformats.org/wordprocessingml/2006/main">
  <w:zoom w:percent="100"/>
  <w:defaultTabStop w:val="720"/>
  <w:autoHyphenation w:val="true"/>
  <w:hyphenationZone w:val="425"/>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3f78ab"/>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3f78ab"/>
    <w:rPr>
      <w:rFonts w:ascii="Ecofont_Spranq_eco_Sans" w:hAnsi="Ecofont_Spranq_eco_Sans" w:eastAsia="Arial Unicode MS" w:cs="Arial"/>
      <w:color w:val="000000"/>
      <w:lang w:eastAsia="pt-BR"/>
    </w:rPr>
  </w:style>
  <w:style w:type="character" w:styleId="InternetLink1" w:customStyle="1">
    <w:name w:val="Internet Link1"/>
    <w:uiPriority w:val="99"/>
    <w:qFormat/>
    <w:rPr>
      <w:color w:val="000080"/>
      <w:u w:val="single"/>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t286pc" w:customStyle="1">
    <w:name w:val="t286pc"/>
    <w:basedOn w:val="DefaultParagraphFont"/>
    <w:qFormat/>
    <w:rsid w:val="00f12226"/>
    <w:rPr/>
  </w:style>
  <w:style w:type="character" w:styleId="InternetLink4">
    <w:name w:val="Internet Link4"/>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uiPriority w:val="99"/>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atransparencia.gov.br/ceis" TargetMode="External"/><Relationship Id="rId3" Type="http://schemas.openxmlformats.org/officeDocument/2006/relationships/hyperlink" Target="http://www.cnj.jus.br/improbidade_adm/consultar_requerido.php" TargetMode="External"/><Relationship Id="rId4" Type="http://schemas.openxmlformats.org/officeDocument/2006/relationships/hyperlink" Target="https://www.tcees.tc.br/portal-da-transparencia/consultas/lista-de" TargetMode="External"/><Relationship Id="rId5" Type="http://schemas.openxmlformats.org/officeDocument/2006/relationships/hyperlink" Target="https://certidoesapf.apps.tcu.gov.br/" TargetMode="External"/><Relationship Id="rId6" Type="http://schemas.openxmlformats.org/officeDocument/2006/relationships/hyperlink" Target="http://www.portaldoempreendedor.gov.br/" TargetMode="External"/><Relationship Id="rId7" Type="http://schemas.openxmlformats.org/officeDocument/2006/relationships/hyperlink" Target="https://www.planalto.gov.br/ccivil_03/leis/lcp/lcp123.htm"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2963</TotalTime>
  <Application>LibreOffice/24.2.6.2$Windows_X86_64 LibreOffice_project/ef66aa7e36a1bb8e65bfbc63aba53045a14d0871</Application>
  <AppVersion>15.0000</AppVersion>
  <Pages>18</Pages>
  <Words>9687</Words>
  <Characters>55044</Characters>
  <CharactersWithSpaces>64365</CharactersWithSpaces>
  <Paragraphs>361</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2025-07-07T17:35:00Z</dcterms:created>
  <dc:creator>Compras</dc:creator>
  <dc:description/>
  <dc:language>pt-BR</dc:language>
  <cp:lastModifiedBy/>
  <cp:lastPrinted>2026-04-16T16:19:34Z</cp:lastPrinted>
  <dcterms:modified xsi:type="dcterms:W3CDTF">2026-05-14T16:53:59Z</dcterms:modified>
  <cp:revision>164</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